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26FD">
      <w:pPr>
        <w:rPr>
          <w:sz w:val="84"/>
          <w:szCs w:val="84"/>
          <w:u w:val="single"/>
        </w:rPr>
      </w:pPr>
      <w:bookmarkStart w:id="0" w:name="_GoBack"/>
      <w:bookmarkEnd w:id="0"/>
    </w:p>
    <w:p w14:paraId="5C34256B">
      <w:pPr>
        <w:rPr>
          <w:sz w:val="84"/>
          <w:szCs w:val="84"/>
          <w:u w:val="single"/>
        </w:rPr>
      </w:pPr>
    </w:p>
    <w:p w14:paraId="195D5F20">
      <w:pPr>
        <w:rPr>
          <w:sz w:val="84"/>
          <w:szCs w:val="84"/>
          <w:u w:val="single"/>
        </w:rPr>
      </w:pPr>
    </w:p>
    <w:p w14:paraId="6BF157F2">
      <w:pPr>
        <w:jc w:val="center"/>
        <w:rPr>
          <w:rFonts w:hint="eastAsia"/>
          <w:sz w:val="52"/>
          <w:szCs w:val="52"/>
          <w:u w:val="none"/>
        </w:rPr>
      </w:pPr>
    </w:p>
    <w:p w14:paraId="0A9A639D">
      <w:pPr>
        <w:jc w:val="center"/>
        <w:rPr>
          <w:rFonts w:hint="eastAsia" w:ascii="Calibri" w:hAnsi="Calibri" w:eastAsia="宋体" w:cs="黑体"/>
          <w:sz w:val="52"/>
          <w:szCs w:val="52"/>
        </w:rPr>
      </w:pPr>
      <w:r>
        <w:rPr>
          <w:rFonts w:hint="eastAsia" w:ascii="Calibri" w:hAnsi="Calibri" w:eastAsia="宋体" w:cs="黑体"/>
          <w:sz w:val="52"/>
          <w:szCs w:val="52"/>
          <w:lang w:val="en-US" w:eastAsia="zh-CN"/>
        </w:rPr>
        <w:t>202</w:t>
      </w:r>
      <w:r>
        <w:rPr>
          <w:rFonts w:hint="eastAsia" w:ascii="Calibri" w:hAnsi="Calibri" w:eastAsia="宋体" w:cs="黑体"/>
          <w:sz w:val="52"/>
          <w:szCs w:val="52"/>
          <w:lang w:val="en-US" w:eastAsia="zh-CN"/>
        </w:rPr>
        <w:t>6</w:t>
      </w:r>
      <w:r>
        <w:rPr>
          <w:rFonts w:hint="eastAsia" w:ascii="Calibri" w:hAnsi="Calibri" w:eastAsia="宋体" w:cs="黑体"/>
          <w:sz w:val="52"/>
          <w:szCs w:val="52"/>
        </w:rPr>
        <w:t>年</w:t>
      </w:r>
      <w:r>
        <w:rPr>
          <w:rFonts w:hint="eastAsia" w:ascii="Calibri" w:hAnsi="Calibri" w:eastAsia="宋体" w:cs="黑体"/>
          <w:sz w:val="52"/>
          <w:szCs w:val="52"/>
          <w:lang w:eastAsia="zh-CN"/>
        </w:rPr>
        <w:t>三亚市人力资源和社会保</w:t>
      </w:r>
      <w:r>
        <w:rPr>
          <w:rFonts w:hint="eastAsia" w:cs="黑体"/>
          <w:sz w:val="52"/>
          <w:szCs w:val="52"/>
          <w:lang w:val="en-US" w:eastAsia="zh-CN"/>
        </w:rPr>
        <w:t>障</w:t>
      </w:r>
      <w:r>
        <w:rPr>
          <w:rFonts w:hint="eastAsia" w:ascii="Calibri" w:hAnsi="Calibri" w:eastAsia="宋体" w:cs="黑体"/>
          <w:sz w:val="52"/>
          <w:szCs w:val="52"/>
          <w:lang w:eastAsia="zh-CN"/>
        </w:rPr>
        <w:t>局</w:t>
      </w:r>
      <w:r>
        <w:rPr>
          <w:rFonts w:hint="eastAsia" w:ascii="Calibri" w:hAnsi="Calibri" w:eastAsia="宋体" w:cs="黑体"/>
          <w:sz w:val="52"/>
          <w:szCs w:val="52"/>
        </w:rPr>
        <w:t>部门预算</w:t>
      </w:r>
    </w:p>
    <w:p w14:paraId="07A62DE9">
      <w:pPr>
        <w:ind w:firstLine="1680"/>
        <w:jc w:val="center"/>
        <w:rPr>
          <w:sz w:val="84"/>
          <w:szCs w:val="84"/>
        </w:rPr>
      </w:pPr>
    </w:p>
    <w:p w14:paraId="3D48F1BE">
      <w:pPr>
        <w:ind w:firstLine="1680"/>
        <w:jc w:val="center"/>
        <w:rPr>
          <w:sz w:val="84"/>
          <w:szCs w:val="84"/>
        </w:rPr>
      </w:pPr>
    </w:p>
    <w:p w14:paraId="6E439219">
      <w:pPr>
        <w:ind w:firstLine="1680"/>
        <w:jc w:val="center"/>
        <w:rPr>
          <w:sz w:val="84"/>
          <w:szCs w:val="84"/>
        </w:rPr>
      </w:pPr>
    </w:p>
    <w:p w14:paraId="54D90F26">
      <w:pPr>
        <w:ind w:firstLine="1680"/>
        <w:jc w:val="center"/>
        <w:rPr>
          <w:sz w:val="84"/>
          <w:szCs w:val="84"/>
        </w:rPr>
      </w:pPr>
    </w:p>
    <w:p w14:paraId="153D218E">
      <w:pPr>
        <w:ind w:firstLine="1680"/>
        <w:jc w:val="center"/>
        <w:rPr>
          <w:sz w:val="84"/>
          <w:szCs w:val="84"/>
        </w:rPr>
      </w:pPr>
    </w:p>
    <w:p w14:paraId="49A30D99">
      <w:pPr>
        <w:rPr>
          <w:sz w:val="84"/>
          <w:szCs w:val="84"/>
        </w:rPr>
      </w:pPr>
    </w:p>
    <w:p w14:paraId="3DDD048F">
      <w:pPr>
        <w:jc w:val="center"/>
        <w:rPr>
          <w:rFonts w:ascii="黑体" w:hAnsi="黑体" w:eastAsia="黑体"/>
          <w:sz w:val="52"/>
          <w:szCs w:val="52"/>
        </w:rPr>
      </w:pPr>
      <w:r>
        <w:rPr>
          <w:rFonts w:hint="eastAsia" w:ascii="黑体" w:hAnsi="黑体" w:eastAsia="黑体"/>
          <w:sz w:val="52"/>
          <w:szCs w:val="52"/>
        </w:rPr>
        <w:t>目录</w:t>
      </w:r>
    </w:p>
    <w:p w14:paraId="289480D7">
      <w:pPr>
        <w:pStyle w:val="7"/>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三亚市人力资源和社会保障局</w:t>
      </w:r>
      <w:r>
        <w:rPr>
          <w:rFonts w:hint="eastAsia" w:ascii="黑体" w:hAnsi="黑体" w:eastAsia="黑体" w:cs="黑体"/>
          <w:sz w:val="32"/>
          <w:szCs w:val="32"/>
          <w:lang w:val="en-US" w:eastAsia="zh-CN"/>
        </w:rPr>
        <w:t>部门</w:t>
      </w:r>
      <w:r>
        <w:rPr>
          <w:rFonts w:hint="eastAsia" w:ascii="黑体" w:hAnsi="黑体" w:eastAsia="黑体" w:cs="黑体"/>
          <w:sz w:val="32"/>
          <w:szCs w:val="32"/>
        </w:rPr>
        <w:t>概况</w:t>
      </w:r>
    </w:p>
    <w:p w14:paraId="2ED48B9E">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5DBD8E34">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36E81AA8">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三亚市人力资源和社会保障局</w:t>
      </w:r>
      <w:r>
        <w:rPr>
          <w:rFonts w:hint="eastAsia" w:ascii="黑体" w:hAnsi="黑体" w:eastAsia="黑体" w:cs="黑体"/>
          <w:sz w:val="32"/>
          <w:szCs w:val="32"/>
          <w:lang w:val="en-US" w:eastAsia="zh-CN"/>
        </w:rPr>
        <w:t>2026</w:t>
      </w:r>
      <w:r>
        <w:rPr>
          <w:rFonts w:hint="eastAsia" w:ascii="黑体" w:hAnsi="黑体" w:eastAsia="黑体"/>
          <w:sz w:val="32"/>
          <w:szCs w:val="32"/>
        </w:rPr>
        <w:t>年部门预算表</w:t>
      </w:r>
    </w:p>
    <w:p w14:paraId="00F9D6B0">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财政拨款收支总表</w:t>
      </w:r>
    </w:p>
    <w:p w14:paraId="6BFA95F1">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一般公共预算支出表</w:t>
      </w:r>
    </w:p>
    <w:p w14:paraId="3DCA4639">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一般公共预算基本支出表</w:t>
      </w:r>
    </w:p>
    <w:p w14:paraId="08026E5F">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一般公共预算“三公”经费支出表</w:t>
      </w:r>
    </w:p>
    <w:p w14:paraId="4F3FB733">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政府性基金预算支出表</w:t>
      </w:r>
    </w:p>
    <w:p w14:paraId="60953C89">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政府性基金预算“三公”经费支出表</w:t>
      </w:r>
    </w:p>
    <w:p w14:paraId="1F37CF06">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国有资本经营预算支出表</w:t>
      </w:r>
    </w:p>
    <w:p w14:paraId="02F03AC1">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部门收支总表</w:t>
      </w:r>
    </w:p>
    <w:p w14:paraId="24AD6C26">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部门收入总表</w:t>
      </w:r>
    </w:p>
    <w:p w14:paraId="6FA03259">
      <w:pPr>
        <w:pStyle w:val="7"/>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零余额用款额度支出总表</w:t>
      </w:r>
    </w:p>
    <w:p w14:paraId="0572AA69">
      <w:pPr>
        <w:pStyle w:val="7"/>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项目支出绩效信息表</w:t>
      </w:r>
    </w:p>
    <w:p w14:paraId="08BD71AC">
      <w:pPr>
        <w:pStyle w:val="7"/>
        <w:numPr>
          <w:ilvl w:val="0"/>
          <w:numId w:val="0"/>
        </w:numPr>
        <w:ind w:firstLine="0" w:firstLineChars="0"/>
        <w:jc w:val="left"/>
        <w:rPr>
          <w:rFonts w:hint="eastAsia" w:ascii="黑体" w:hAnsi="黑体" w:eastAsia="黑体"/>
          <w:sz w:val="32"/>
          <w:szCs w:val="32"/>
        </w:rPr>
      </w:pPr>
      <w:r>
        <w:rPr>
          <w:rFonts w:hint="eastAsia" w:ascii="黑体" w:hAnsi="黑体" w:eastAsia="黑体"/>
          <w:sz w:val="32"/>
          <w:szCs w:val="32"/>
        </w:rPr>
        <w:t>第三部分 三亚市人力资源和社会保障局 2026 年部门预算情况说明</w:t>
      </w:r>
    </w:p>
    <w:p w14:paraId="2093B754">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一、 关于三亚市人力资源和社会保障局部门2026 年财政拨款收支预算情况的总体说明</w:t>
      </w:r>
    </w:p>
    <w:p w14:paraId="18A289A8">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二、 关于三亚市人力资源和社会保障局部门2026 年一般公共预算当年拨款情况说明</w:t>
      </w:r>
    </w:p>
    <w:p w14:paraId="54ADE0F6">
      <w:pPr>
        <w:pStyle w:val="7"/>
        <w:numPr>
          <w:ilvl w:val="-1"/>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一般公共预算当年规模变化情况</w:t>
      </w:r>
    </w:p>
    <w:p w14:paraId="4FE259F4">
      <w:pPr>
        <w:pStyle w:val="7"/>
        <w:numPr>
          <w:ilvl w:val="-1"/>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一般公共预算当年拨款结构情况</w:t>
      </w:r>
    </w:p>
    <w:p w14:paraId="01F9220D">
      <w:pPr>
        <w:pStyle w:val="7"/>
        <w:numPr>
          <w:ilvl w:val="-1"/>
          <w:numId w:val="0"/>
        </w:numPr>
        <w:ind w:left="0"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一般公共预算当年拨款具体使用情况</w:t>
      </w:r>
    </w:p>
    <w:p w14:paraId="696E8532">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三、 关于三亚市人力资源和社会保障局部门2026 年一般公共预算基本支出情况说明</w:t>
      </w:r>
    </w:p>
    <w:p w14:paraId="0CF9197F">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四、 三亚市人力资源和社会保障局部门2026 年“三公”经费预算情况说明</w:t>
      </w:r>
    </w:p>
    <w:p w14:paraId="49E8B9F3">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五、 关于三亚市人力资源和社会保障局部门2026 年政府性基金预算当年拨款情况说明</w:t>
      </w:r>
    </w:p>
    <w:p w14:paraId="27F118E7">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六、 国有资本经营预算当年拨款情况说明</w:t>
      </w:r>
    </w:p>
    <w:p w14:paraId="42A4ABB9">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七、 关于三亚市人力资源和社会保障局部门2026 年收支预算情况的总体说明</w:t>
      </w:r>
    </w:p>
    <w:p w14:paraId="4986E4FA">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八、 关于三亚市人力资源和社会保障局部门2026 年收入预算情况说明</w:t>
      </w:r>
    </w:p>
    <w:p w14:paraId="60AA7D3F">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九、 关于三亚市人力资源和社会保障局部门2026 年支出预算情况说明</w:t>
      </w:r>
    </w:p>
    <w:p w14:paraId="77E02DBA">
      <w:pPr>
        <w:pStyle w:val="7"/>
        <w:numPr>
          <w:ilvl w:val="0"/>
          <w:numId w:val="0"/>
        </w:numPr>
        <w:ind w:firstLine="640" w:firstLineChars="200"/>
        <w:jc w:val="left"/>
        <w:rPr>
          <w:rFonts w:hint="eastAsia" w:ascii="黑体" w:hAnsi="黑体" w:eastAsia="黑体"/>
          <w:sz w:val="32"/>
          <w:szCs w:val="32"/>
        </w:rPr>
      </w:pPr>
      <w:r>
        <w:rPr>
          <w:rFonts w:hint="eastAsia" w:ascii="黑体" w:hAnsi="黑体" w:eastAsia="黑体"/>
          <w:sz w:val="32"/>
          <w:szCs w:val="32"/>
        </w:rPr>
        <w:t>十、 其他重要事项的情况说明</w:t>
      </w:r>
    </w:p>
    <w:p w14:paraId="71F1EA3C">
      <w:pPr>
        <w:pStyle w:val="7"/>
        <w:numPr>
          <w:ilvl w:val="-1"/>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机关运行经费</w:t>
      </w:r>
    </w:p>
    <w:p w14:paraId="68241AB3">
      <w:pPr>
        <w:pStyle w:val="7"/>
        <w:numPr>
          <w:ilvl w:val="-1"/>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政府采购情况</w:t>
      </w:r>
    </w:p>
    <w:p w14:paraId="5C31B850">
      <w:pPr>
        <w:pStyle w:val="7"/>
        <w:numPr>
          <w:ilvl w:val="-1"/>
          <w:numId w:val="0"/>
        </w:num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国有资产占有使用情况</w:t>
      </w:r>
    </w:p>
    <w:p w14:paraId="04B55BA5">
      <w:pPr>
        <w:pStyle w:val="7"/>
        <w:numPr>
          <w:ilvl w:val="0"/>
          <w:numId w:val="0"/>
        </w:numPr>
        <w:ind w:firstLine="0" w:firstLineChars="0"/>
        <w:jc w:val="left"/>
        <w:rPr>
          <w:rFonts w:hint="eastAsia" w:ascii="黑体" w:hAnsi="黑体" w:eastAsia="黑体"/>
          <w:sz w:val="32"/>
          <w:szCs w:val="32"/>
        </w:rPr>
      </w:pPr>
    </w:p>
    <w:p w14:paraId="7E67D781">
      <w:pPr>
        <w:pStyle w:val="7"/>
        <w:numPr>
          <w:ilvl w:val="0"/>
          <w:numId w:val="0"/>
        </w:numPr>
        <w:ind w:firstLine="640" w:firstLineChars="200"/>
        <w:jc w:val="left"/>
        <w:rPr>
          <w:rFonts w:ascii="仿宋_GB2312" w:hAnsi="仿宋_GB2312" w:eastAsia="仿宋_GB2312" w:cs="仿宋_GB2312"/>
          <w:sz w:val="32"/>
          <w:szCs w:val="32"/>
        </w:rPr>
      </w:pPr>
      <w:r>
        <w:rPr>
          <w:rFonts w:hint="eastAsia" w:ascii="黑体" w:hAnsi="黑体" w:eastAsia="黑体"/>
          <w:sz w:val="32"/>
          <w:szCs w:val="32"/>
        </w:rPr>
        <w:t>（四） 绩效目标设置情况</w:t>
      </w:r>
    </w:p>
    <w:p w14:paraId="04787061">
      <w:pPr>
        <w:pStyle w:val="7"/>
        <w:numPr>
          <w:ilvl w:val="0"/>
          <w:numId w:val="0"/>
        </w:numPr>
        <w:ind w:firstLineChars="0"/>
        <w:jc w:val="left"/>
        <w:rPr>
          <w:rFonts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第四部分</w:t>
      </w:r>
      <w:r>
        <w:rPr>
          <w:rFonts w:hint="eastAsia" w:ascii="黑体" w:hAnsi="黑体" w:eastAsia="黑体"/>
          <w:sz w:val="32"/>
          <w:szCs w:val="32"/>
        </w:rPr>
        <w:t xml:space="preserve">   名词解释</w:t>
      </w:r>
    </w:p>
    <w:p w14:paraId="14A8D3C0">
      <w:pPr>
        <w:pStyle w:val="7"/>
        <w:ind w:left="1320" w:firstLine="0" w:firstLineChars="0"/>
        <w:jc w:val="left"/>
        <w:rPr>
          <w:rFonts w:ascii="黑体" w:hAnsi="黑体" w:eastAsia="黑体"/>
          <w:sz w:val="32"/>
          <w:szCs w:val="32"/>
        </w:rPr>
      </w:pPr>
    </w:p>
    <w:p w14:paraId="223CACC7">
      <w:pPr>
        <w:pStyle w:val="7"/>
        <w:ind w:left="1320" w:firstLine="0" w:firstLineChars="0"/>
        <w:jc w:val="left"/>
        <w:rPr>
          <w:rFonts w:ascii="黑体" w:hAnsi="黑体" w:eastAsia="黑体"/>
          <w:sz w:val="32"/>
          <w:szCs w:val="32"/>
        </w:rPr>
      </w:pPr>
    </w:p>
    <w:p w14:paraId="063D37EC">
      <w:pPr>
        <w:pStyle w:val="7"/>
        <w:ind w:left="0" w:leftChars="0" w:firstLine="0" w:firstLineChars="0"/>
        <w:jc w:val="left"/>
        <w:rPr>
          <w:rFonts w:ascii="黑体" w:hAnsi="黑体" w:eastAsia="黑体"/>
          <w:sz w:val="32"/>
          <w:szCs w:val="32"/>
        </w:rPr>
      </w:pPr>
    </w:p>
    <w:p w14:paraId="7F03F6C0">
      <w:pPr>
        <w:pStyle w:val="7"/>
        <w:keepNext w:val="0"/>
        <w:keepLines w:val="0"/>
        <w:pageBreakBefore w:val="0"/>
        <w:numPr>
          <w:ilvl w:val="0"/>
          <w:numId w:val="4"/>
        </w:numPr>
        <w:kinsoku/>
        <w:wordWrap/>
        <w:overflowPunct/>
        <w:topLinePunct w:val="0"/>
        <w:bidi w:val="0"/>
        <w:snapToGrid/>
        <w:spacing w:beforeAutospacing="0" w:afterAutospacing="0" w:line="560" w:lineRule="exact"/>
        <w:ind w:firstLineChars="0"/>
        <w:jc w:val="center"/>
        <w:textAlignment w:val="auto"/>
        <w:outlineLvl w:val="9"/>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三亚市人力资源和社会保障局</w:t>
      </w:r>
      <w:r>
        <w:rPr>
          <w:rFonts w:hint="eastAsia" w:ascii="黑体" w:hAnsi="黑体" w:eastAsia="黑体" w:cs="黑体"/>
          <w:sz w:val="32"/>
          <w:szCs w:val="32"/>
          <w:lang w:val="en-US" w:eastAsia="zh-CN"/>
        </w:rPr>
        <w:t>部门2026</w:t>
      </w:r>
      <w:r>
        <w:rPr>
          <w:rFonts w:hint="eastAsia" w:ascii="黑体" w:hAnsi="黑体" w:eastAsia="黑体"/>
          <w:sz w:val="32"/>
          <w:szCs w:val="32"/>
        </w:rPr>
        <w:t>年概况</w:t>
      </w:r>
    </w:p>
    <w:p w14:paraId="19E39279">
      <w:pPr>
        <w:keepNext w:val="0"/>
        <w:keepLines w:val="0"/>
        <w:pageBreakBefore w:val="0"/>
        <w:kinsoku/>
        <w:wordWrap/>
        <w:overflowPunct/>
        <w:topLinePunct w:val="0"/>
        <w:bidi w:val="0"/>
        <w:snapToGrid/>
        <w:spacing w:beforeAutospacing="0" w:afterAutospacing="0" w:line="560" w:lineRule="exact"/>
        <w:jc w:val="left"/>
        <w:textAlignment w:val="auto"/>
        <w:outlineLvl w:val="9"/>
        <w:rPr>
          <w:rFonts w:ascii="仿宋_GB2312" w:hAnsi="仿宋_GB2312" w:eastAsia="仿宋_GB2312" w:cs="仿宋_GB2312"/>
          <w:sz w:val="32"/>
          <w:szCs w:val="32"/>
        </w:rPr>
      </w:pPr>
    </w:p>
    <w:p w14:paraId="576E4E28">
      <w:pPr>
        <w:pStyle w:val="7"/>
        <w:keepNext w:val="0"/>
        <w:keepLines w:val="0"/>
        <w:pageBreakBefore w:val="0"/>
        <w:numPr>
          <w:ilvl w:val="0"/>
          <w:numId w:val="5"/>
        </w:numPr>
        <w:kinsoku/>
        <w:wordWrap/>
        <w:overflowPunct/>
        <w:topLinePunct w:val="0"/>
        <w:bidi w:val="0"/>
        <w:snapToGrid/>
        <w:spacing w:beforeAutospacing="0" w:afterAutospacing="0" w:line="560" w:lineRule="exact"/>
        <w:ind w:firstLineChars="0"/>
        <w:jc w:val="left"/>
        <w:textAlignment w:val="auto"/>
        <w:outlineLvl w:val="9"/>
        <w:rPr>
          <w:rFonts w:ascii="黑体" w:hAnsi="黑体" w:eastAsia="黑体" w:cs="仿宋_GB2312"/>
          <w:sz w:val="32"/>
          <w:szCs w:val="32"/>
        </w:rPr>
      </w:pPr>
      <w:r>
        <w:rPr>
          <w:rFonts w:hint="eastAsia" w:ascii="黑体" w:hAnsi="黑体" w:eastAsia="黑体" w:cs="仿宋_GB2312"/>
          <w:sz w:val="32"/>
          <w:szCs w:val="32"/>
        </w:rPr>
        <w:t>主要职能</w:t>
      </w:r>
    </w:p>
    <w:p w14:paraId="615FAA87">
      <w:pPr>
        <w:keepNext w:val="0"/>
        <w:keepLines w:val="0"/>
        <w:pageBreakBefore w:val="0"/>
        <w:kinsoku/>
        <w:wordWrap/>
        <w:overflowPunct/>
        <w:topLinePunct w:val="0"/>
        <w:bidi w:val="0"/>
        <w:snapToGrid/>
        <w:spacing w:beforeAutospacing="0" w:afterAutospacing="0"/>
        <w:ind w:firstLine="640" w:firstLineChars="200"/>
        <w:jc w:val="left"/>
        <w:textAlignment w:val="auto"/>
        <w:outlineLvl w:val="9"/>
        <w:rPr>
          <w:rFonts w:ascii="Calibri" w:hAnsi="Calibri" w:eastAsia="仿宋_GB2312" w:cs="黑体"/>
          <w:color w:val="auto"/>
          <w:sz w:val="32"/>
          <w:szCs w:val="32"/>
          <w:u w:val="none"/>
        </w:rPr>
      </w:pPr>
      <w:r>
        <w:rPr>
          <w:rFonts w:ascii="Calibri" w:hAnsi="Calibri" w:eastAsia="仿宋_GB2312" w:cs="黑体"/>
          <w:i w:val="0"/>
          <w:iCs w:val="0"/>
          <w:caps w:val="0"/>
          <w:color w:val="auto"/>
          <w:spacing w:val="0"/>
          <w:sz w:val="32"/>
          <w:szCs w:val="32"/>
          <w:u w:val="none"/>
          <w:shd w:val="clear" w:fill="FFFFFF"/>
        </w:rPr>
        <w:t>三亚市人力资源和社会保障局贯彻落实党中央、省委关于人力资源和社会保障工作的方针政策和决策部署，落实市委</w:t>
      </w:r>
      <w:r>
        <w:rPr>
          <w:rFonts w:hint="eastAsia" w:eastAsia="仿宋_GB2312" w:cs="黑体"/>
          <w:i w:val="0"/>
          <w:iCs w:val="0"/>
          <w:caps w:val="0"/>
          <w:color w:val="auto"/>
          <w:spacing w:val="0"/>
          <w:sz w:val="32"/>
          <w:szCs w:val="32"/>
          <w:u w:val="none"/>
          <w:shd w:val="clear"/>
          <w:lang w:val="en-US" w:eastAsia="zh-CN"/>
        </w:rPr>
        <w:t>市政府</w:t>
      </w:r>
      <w:r>
        <w:rPr>
          <w:rFonts w:ascii="Calibri" w:hAnsi="Calibri" w:eastAsia="仿宋_GB2312" w:cs="黑体"/>
          <w:i w:val="0"/>
          <w:iCs w:val="0"/>
          <w:caps w:val="0"/>
          <w:color w:val="auto"/>
          <w:spacing w:val="0"/>
          <w:sz w:val="32"/>
          <w:szCs w:val="32"/>
          <w:u w:val="none"/>
          <w:shd w:val="clear" w:fill="FFFFFF"/>
        </w:rPr>
        <w:t>的工作要求</w:t>
      </w:r>
      <w:r>
        <w:rPr>
          <w:rFonts w:hint="eastAsia" w:eastAsia="仿宋_GB2312" w:cs="黑体"/>
          <w:i w:val="0"/>
          <w:iCs w:val="0"/>
          <w:caps w:val="0"/>
          <w:color w:val="auto"/>
          <w:spacing w:val="0"/>
          <w:sz w:val="32"/>
          <w:szCs w:val="32"/>
          <w:u w:val="none"/>
          <w:shd w:val="clear"/>
          <w:lang w:eastAsia="zh-CN"/>
        </w:rPr>
        <w:t>，</w:t>
      </w:r>
      <w:r>
        <w:rPr>
          <w:rFonts w:ascii="Calibri" w:hAnsi="Calibri" w:eastAsia="仿宋_GB2312" w:cs="黑体"/>
          <w:i w:val="0"/>
          <w:iCs w:val="0"/>
          <w:caps w:val="0"/>
          <w:color w:val="auto"/>
          <w:spacing w:val="0"/>
          <w:sz w:val="32"/>
          <w:szCs w:val="32"/>
          <w:u w:val="none"/>
          <w:shd w:val="clear" w:fill="FFFFFF"/>
        </w:rPr>
        <w:t>主要职责包括：</w:t>
      </w:r>
    </w:p>
    <w:p w14:paraId="671E72BB">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Ansi="仿宋_GB2312" w:eastAsia="仿宋_GB2312"/>
          <w:color w:val="auto"/>
          <w:sz w:val="32"/>
          <w:szCs w:val="32"/>
          <w:u w:val="none"/>
        </w:rPr>
      </w:pPr>
      <w:r>
        <w:rPr>
          <w:rFonts w:hAnsi="仿宋_GB2312" w:eastAsia="仿宋_GB2312"/>
          <w:color w:val="auto"/>
          <w:sz w:val="32"/>
          <w:szCs w:val="32"/>
          <w:u w:val="none"/>
        </w:rPr>
        <w:t>（一）贯彻落实党和国家</w:t>
      </w:r>
      <w:r>
        <w:rPr>
          <w:rFonts w:hint="eastAsia" w:hAnsi="仿宋_GB2312" w:eastAsia="仿宋_GB2312"/>
          <w:color w:val="auto"/>
          <w:sz w:val="32"/>
          <w:szCs w:val="32"/>
          <w:u w:val="none"/>
        </w:rPr>
        <w:t>、省</w:t>
      </w:r>
      <w:r>
        <w:rPr>
          <w:rFonts w:hint="eastAsia" w:hAnsi="仿宋_GB2312" w:eastAsia="仿宋_GB2312"/>
          <w:color w:val="auto"/>
          <w:sz w:val="32"/>
          <w:szCs w:val="32"/>
          <w:u w:val="none"/>
          <w:lang w:eastAsia="zh-CN"/>
        </w:rPr>
        <w:t>有关</w:t>
      </w:r>
      <w:r>
        <w:rPr>
          <w:rFonts w:hAnsi="仿宋_GB2312" w:eastAsia="仿宋_GB2312"/>
          <w:color w:val="auto"/>
          <w:sz w:val="32"/>
          <w:szCs w:val="32"/>
          <w:u w:val="none"/>
        </w:rPr>
        <w:t>人力资源和社会保障工作的方针政策、法律法规，执行市委市政府决策部署和海南自由贸易</w:t>
      </w:r>
      <w:r>
        <w:rPr>
          <w:rFonts w:hint="eastAsia" w:hAnsi="仿宋_GB2312" w:eastAsia="仿宋_GB2312"/>
          <w:color w:val="auto"/>
          <w:sz w:val="32"/>
          <w:szCs w:val="32"/>
          <w:u w:val="none"/>
          <w:lang w:val="en-US" w:eastAsia="zh-CN"/>
        </w:rPr>
        <w:t>港</w:t>
      </w:r>
      <w:r>
        <w:rPr>
          <w:rFonts w:hAnsi="仿宋_GB2312" w:eastAsia="仿宋_GB2312"/>
          <w:color w:val="auto"/>
          <w:sz w:val="32"/>
          <w:szCs w:val="32"/>
          <w:u w:val="none"/>
        </w:rPr>
        <w:t>政策措施。</w:t>
      </w:r>
    </w:p>
    <w:p w14:paraId="2C26A3B8">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（二）依法拟</w:t>
      </w:r>
      <w:r>
        <w:rPr>
          <w:rFonts w:hint="eastAsia" w:eastAsia="仿宋_GB2312"/>
          <w:color w:val="auto"/>
          <w:sz w:val="32"/>
          <w:szCs w:val="32"/>
          <w:u w:val="none"/>
        </w:rPr>
        <w:t>订</w:t>
      </w:r>
      <w:r>
        <w:rPr>
          <w:rFonts w:eastAsia="仿宋_GB2312"/>
          <w:color w:val="auto"/>
          <w:sz w:val="32"/>
          <w:szCs w:val="32"/>
          <w:u w:val="none"/>
        </w:rPr>
        <w:t>并组织实施</w:t>
      </w:r>
      <w:r>
        <w:rPr>
          <w:rFonts w:hint="eastAsia" w:eastAsia="仿宋_GB2312"/>
          <w:color w:val="auto"/>
          <w:sz w:val="32"/>
          <w:szCs w:val="32"/>
          <w:u w:val="none"/>
          <w:lang w:eastAsia="zh-CN"/>
        </w:rPr>
        <w:t>全</w:t>
      </w:r>
      <w:r>
        <w:rPr>
          <w:rFonts w:eastAsia="仿宋_GB2312"/>
          <w:color w:val="auto"/>
          <w:sz w:val="32"/>
          <w:szCs w:val="32"/>
          <w:u w:val="none"/>
        </w:rPr>
        <w:t>市人力资源和社会保障工作的政策规定、规章制度和工作计划，推进人力资源和社会保障改革，研究提出中国（海南）自由贸易试验区、中国特色自由贸易港人力资源和社会保障工作方面的意见和建议。</w:t>
      </w:r>
    </w:p>
    <w:p w14:paraId="01C4063A">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int="eastAsia" w:eastAsia="仿宋_GB2312"/>
          <w:color w:val="auto"/>
          <w:kern w:val="0"/>
          <w:sz w:val="32"/>
          <w:szCs w:val="32"/>
          <w:u w:val="none"/>
          <w:lang w:eastAsia="zh-CN"/>
        </w:rPr>
      </w:pPr>
      <w:r>
        <w:rPr>
          <w:rFonts w:eastAsia="仿宋_GB2312"/>
          <w:color w:val="auto"/>
          <w:kern w:val="0"/>
          <w:sz w:val="32"/>
          <w:szCs w:val="32"/>
          <w:u w:val="none"/>
        </w:rPr>
        <w:t>（三）负责全市人力资源市场的统筹规划和综合管理工作。建立统一开放、竞争有序的人力资源市场体系，健全人力资源开发机制和人力资源流动配置机制，负责全市人力资源服务标准化建设和人力资源市场监管。负责全市人力资源和社会保障统计和信息工作。负责推进全市人力资源和社会保障公共服务平台建设和诚信体系建设</w:t>
      </w:r>
      <w:r>
        <w:rPr>
          <w:rFonts w:hint="eastAsia" w:eastAsia="仿宋_GB2312"/>
          <w:color w:val="auto"/>
          <w:kern w:val="0"/>
          <w:sz w:val="32"/>
          <w:szCs w:val="32"/>
          <w:u w:val="none"/>
          <w:lang w:eastAsia="zh-CN"/>
        </w:rPr>
        <w:t>，</w:t>
      </w:r>
      <w:r>
        <w:rPr>
          <w:rFonts w:hAnsi="仿宋_GB2312" w:eastAsia="仿宋_GB2312"/>
          <w:color w:val="auto"/>
          <w:sz w:val="32"/>
          <w:szCs w:val="32"/>
          <w:u w:val="none"/>
        </w:rPr>
        <w:t>推进建设全国统一的社会保险公共服务平台</w:t>
      </w:r>
      <w:r>
        <w:rPr>
          <w:rFonts w:hint="eastAsia" w:hAnsi="仿宋_GB2312" w:eastAsia="仿宋_GB2312"/>
          <w:color w:val="auto"/>
          <w:sz w:val="32"/>
          <w:szCs w:val="32"/>
          <w:u w:val="none"/>
          <w:lang w:eastAsia="zh-CN"/>
        </w:rPr>
        <w:t>。</w:t>
      </w:r>
    </w:p>
    <w:p w14:paraId="02082537">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kern w:val="0"/>
          <w:sz w:val="32"/>
          <w:szCs w:val="32"/>
          <w:u w:val="none"/>
        </w:rPr>
      </w:pPr>
      <w:r>
        <w:rPr>
          <w:rFonts w:eastAsia="仿宋_GB2312"/>
          <w:color w:val="auto"/>
          <w:kern w:val="0"/>
          <w:sz w:val="32"/>
          <w:szCs w:val="32"/>
          <w:u w:val="none"/>
        </w:rPr>
        <w:t>（四）负责全市促进就业创业工作。拟</w:t>
      </w:r>
      <w:r>
        <w:rPr>
          <w:rFonts w:hint="eastAsia" w:eastAsia="仿宋_GB2312"/>
          <w:color w:val="auto"/>
          <w:kern w:val="0"/>
          <w:sz w:val="32"/>
          <w:szCs w:val="32"/>
          <w:u w:val="none"/>
        </w:rPr>
        <w:t>订</w:t>
      </w:r>
      <w:r>
        <w:rPr>
          <w:rFonts w:eastAsia="仿宋_GB2312"/>
          <w:color w:val="auto"/>
          <w:kern w:val="0"/>
          <w:sz w:val="32"/>
          <w:szCs w:val="32"/>
          <w:u w:val="none"/>
        </w:rPr>
        <w:t>落实统筹城乡的就业发展规划和政策，完善公共就业创业服务体系，健全就业创业援助制度。拟</w:t>
      </w:r>
      <w:r>
        <w:rPr>
          <w:rFonts w:hint="eastAsia" w:eastAsia="仿宋_GB2312"/>
          <w:color w:val="auto"/>
          <w:kern w:val="0"/>
          <w:sz w:val="32"/>
          <w:szCs w:val="32"/>
          <w:u w:val="none"/>
          <w:lang w:eastAsia="zh-CN"/>
        </w:rPr>
        <w:t>订</w:t>
      </w:r>
      <w:r>
        <w:rPr>
          <w:rFonts w:eastAsia="仿宋_GB2312"/>
          <w:color w:val="auto"/>
          <w:kern w:val="0"/>
          <w:sz w:val="32"/>
          <w:szCs w:val="32"/>
          <w:u w:val="none"/>
        </w:rPr>
        <w:t>全市职业技能培训规划、职业资格制度，统筹建立面向城乡劳动者的职业培训制度，会同有关部门</w:t>
      </w:r>
      <w:r>
        <w:rPr>
          <w:rFonts w:hint="eastAsia" w:eastAsia="仿宋_GB2312"/>
          <w:color w:val="auto"/>
          <w:kern w:val="0"/>
          <w:sz w:val="32"/>
          <w:szCs w:val="32"/>
          <w:u w:val="none"/>
          <w:lang w:val="en-US" w:eastAsia="zh-CN"/>
        </w:rPr>
        <w:t>完善</w:t>
      </w:r>
      <w:r>
        <w:rPr>
          <w:rFonts w:eastAsia="仿宋_GB2312"/>
          <w:color w:val="auto"/>
          <w:kern w:val="0"/>
          <w:sz w:val="32"/>
          <w:szCs w:val="32"/>
          <w:u w:val="none"/>
        </w:rPr>
        <w:t>技能人才培养</w:t>
      </w:r>
      <w:r>
        <w:rPr>
          <w:rFonts w:hint="eastAsia" w:eastAsia="仿宋_GB2312"/>
          <w:color w:val="auto"/>
          <w:kern w:val="0"/>
          <w:sz w:val="32"/>
          <w:szCs w:val="32"/>
          <w:u w:val="none"/>
          <w:lang w:val="en-US" w:eastAsia="zh-CN"/>
        </w:rPr>
        <w:t>及其相关政策</w:t>
      </w:r>
      <w:r>
        <w:rPr>
          <w:rFonts w:eastAsia="仿宋_GB2312"/>
          <w:color w:val="auto"/>
          <w:kern w:val="0"/>
          <w:sz w:val="32"/>
          <w:szCs w:val="32"/>
          <w:u w:val="none"/>
        </w:rPr>
        <w:t>。</w:t>
      </w:r>
    </w:p>
    <w:p w14:paraId="78705754">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kern w:val="0"/>
          <w:sz w:val="32"/>
          <w:szCs w:val="32"/>
          <w:u w:val="none"/>
        </w:rPr>
      </w:pPr>
      <w:r>
        <w:rPr>
          <w:rFonts w:eastAsia="仿宋_GB2312"/>
          <w:color w:val="auto"/>
          <w:kern w:val="0"/>
          <w:sz w:val="32"/>
          <w:szCs w:val="32"/>
          <w:u w:val="none"/>
        </w:rPr>
        <w:t>（五）负责全市城乡一体化社会保障体系的建设；综合管理</w:t>
      </w:r>
      <w:r>
        <w:rPr>
          <w:rFonts w:hint="eastAsia" w:eastAsia="仿宋_GB2312"/>
          <w:color w:val="auto"/>
          <w:kern w:val="0"/>
          <w:sz w:val="32"/>
          <w:szCs w:val="32"/>
          <w:u w:val="none"/>
          <w:lang w:eastAsia="zh-CN"/>
        </w:rPr>
        <w:t>全市</w:t>
      </w:r>
      <w:r>
        <w:rPr>
          <w:rFonts w:eastAsia="仿宋_GB2312"/>
          <w:color w:val="auto"/>
          <w:kern w:val="0"/>
          <w:sz w:val="32"/>
          <w:szCs w:val="32"/>
          <w:u w:val="none"/>
        </w:rPr>
        <w:t>社会保</w:t>
      </w:r>
      <w:r>
        <w:rPr>
          <w:rFonts w:hint="eastAsia" w:eastAsia="仿宋_GB2312"/>
          <w:color w:val="auto"/>
          <w:kern w:val="0"/>
          <w:sz w:val="32"/>
          <w:szCs w:val="32"/>
          <w:u w:val="none"/>
          <w:lang w:val="en-US" w:eastAsia="zh-CN"/>
        </w:rPr>
        <w:t>障</w:t>
      </w:r>
      <w:r>
        <w:rPr>
          <w:rFonts w:eastAsia="仿宋_GB2312"/>
          <w:color w:val="auto"/>
          <w:kern w:val="0"/>
          <w:sz w:val="32"/>
          <w:szCs w:val="32"/>
          <w:u w:val="none"/>
        </w:rPr>
        <w:t>工作；落实社会保障卡发行工作。</w:t>
      </w:r>
    </w:p>
    <w:p w14:paraId="2720F0C0">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kern w:val="0"/>
          <w:sz w:val="32"/>
          <w:szCs w:val="32"/>
          <w:u w:val="none"/>
        </w:rPr>
        <w:t>（六）负责全市就业、失业基金预测预警和信息引导，拟</w:t>
      </w:r>
      <w:r>
        <w:rPr>
          <w:rFonts w:hint="eastAsia" w:eastAsia="仿宋_GB2312"/>
          <w:color w:val="auto"/>
          <w:kern w:val="0"/>
          <w:sz w:val="32"/>
          <w:szCs w:val="32"/>
          <w:u w:val="none"/>
        </w:rPr>
        <w:t>订</w:t>
      </w:r>
      <w:r>
        <w:rPr>
          <w:rFonts w:eastAsia="仿宋_GB2312"/>
          <w:color w:val="auto"/>
          <w:kern w:val="0"/>
          <w:sz w:val="32"/>
          <w:szCs w:val="32"/>
          <w:u w:val="none"/>
        </w:rPr>
        <w:t>应对预</w:t>
      </w:r>
      <w:r>
        <w:rPr>
          <w:rFonts w:eastAsia="仿宋_GB2312"/>
          <w:color w:val="auto"/>
          <w:sz w:val="32"/>
          <w:szCs w:val="32"/>
          <w:u w:val="none"/>
        </w:rPr>
        <w:t>案，实施预防、调节和控制，保持就业形势稳定和社会保险基金总体收支平衡。负责全市工伤认定和劳动能力鉴定工作。</w:t>
      </w:r>
    </w:p>
    <w:p w14:paraId="04F6A030">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（七）负责全市事业单位人事管理工作。会同有关部门推进全市事业单位人事制度改革，落实事业单位人员和机关工勤人员管理政策；负责政府管理的事业单位人事综合管理工作。</w:t>
      </w:r>
    </w:p>
    <w:p w14:paraId="4FE5B51E">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（八）负责落实事业单位人员工资收入分配政策，落实企业职工工资收入的宏观调控政策，</w:t>
      </w:r>
      <w:r>
        <w:rPr>
          <w:rFonts w:hint="eastAsia" w:eastAsia="仿宋_GB2312"/>
          <w:color w:val="auto"/>
          <w:sz w:val="32"/>
          <w:szCs w:val="32"/>
          <w:u w:val="none"/>
        </w:rPr>
        <w:t>落实</w:t>
      </w:r>
      <w:r>
        <w:rPr>
          <w:rFonts w:eastAsia="仿宋_GB2312"/>
          <w:color w:val="auto"/>
          <w:sz w:val="32"/>
          <w:szCs w:val="32"/>
          <w:u w:val="none"/>
        </w:rPr>
        <w:t>建立</w:t>
      </w:r>
      <w:r>
        <w:rPr>
          <w:rFonts w:hint="eastAsia" w:eastAsia="仿宋_GB2312"/>
          <w:color w:val="auto"/>
          <w:sz w:val="32"/>
          <w:szCs w:val="32"/>
          <w:u w:val="none"/>
        </w:rPr>
        <w:t>健全</w:t>
      </w:r>
      <w:r>
        <w:rPr>
          <w:rFonts w:eastAsia="仿宋_GB2312"/>
          <w:color w:val="auto"/>
          <w:sz w:val="32"/>
          <w:szCs w:val="32"/>
          <w:u w:val="none"/>
        </w:rPr>
        <w:t>企事业单位人员</w:t>
      </w:r>
      <w:r>
        <w:rPr>
          <w:rFonts w:hint="eastAsia" w:eastAsia="仿宋_GB2312"/>
          <w:color w:val="auto"/>
          <w:sz w:val="32"/>
          <w:szCs w:val="32"/>
          <w:u w:val="none"/>
        </w:rPr>
        <w:t>工资决定、</w:t>
      </w:r>
      <w:r>
        <w:rPr>
          <w:rFonts w:eastAsia="仿宋_GB2312"/>
          <w:color w:val="auto"/>
          <w:sz w:val="32"/>
          <w:szCs w:val="32"/>
          <w:u w:val="none"/>
        </w:rPr>
        <w:t>工资正常增长和支付保障</w:t>
      </w:r>
      <w:r>
        <w:rPr>
          <w:rFonts w:hint="eastAsia" w:eastAsia="仿宋_GB2312"/>
          <w:color w:val="auto"/>
          <w:sz w:val="32"/>
          <w:szCs w:val="32"/>
          <w:u w:val="none"/>
        </w:rPr>
        <w:t>长效</w:t>
      </w:r>
      <w:r>
        <w:rPr>
          <w:rFonts w:eastAsia="仿宋_GB2312"/>
          <w:color w:val="auto"/>
          <w:sz w:val="32"/>
          <w:szCs w:val="32"/>
          <w:u w:val="none"/>
        </w:rPr>
        <w:t>机制，负责国有企业薪酬监测并开展监督检查。落实离退休政策。</w:t>
      </w:r>
    </w:p>
    <w:p w14:paraId="5BBE195B">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（九）</w:t>
      </w:r>
      <w:r>
        <w:rPr>
          <w:rFonts w:hint="eastAsia" w:eastAsia="仿宋_GB2312"/>
          <w:color w:val="auto"/>
          <w:sz w:val="32"/>
          <w:szCs w:val="32"/>
          <w:u w:val="none"/>
          <w:lang w:eastAsia="zh-CN"/>
        </w:rPr>
        <w:t>会同有关部门落实</w:t>
      </w:r>
      <w:r>
        <w:rPr>
          <w:rFonts w:eastAsia="仿宋_GB2312"/>
          <w:color w:val="auto"/>
          <w:sz w:val="32"/>
          <w:szCs w:val="32"/>
          <w:u w:val="none"/>
        </w:rPr>
        <w:t>农民工工作，协调解决农民工工作中的重点难点问题。负责全市人力资源和社会保障领域扶贫工作。</w:t>
      </w:r>
    </w:p>
    <w:p w14:paraId="7C098C94">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hint="eastAsia" w:eastAsia="仿宋_GB2312"/>
          <w:color w:val="auto"/>
          <w:sz w:val="32"/>
          <w:szCs w:val="32"/>
          <w:u w:val="none"/>
          <w:lang w:eastAsia="zh-CN"/>
        </w:rPr>
      </w:pPr>
      <w:r>
        <w:rPr>
          <w:rFonts w:eastAsia="仿宋_GB2312"/>
          <w:color w:val="auto"/>
          <w:sz w:val="32"/>
          <w:szCs w:val="32"/>
          <w:u w:val="none"/>
        </w:rPr>
        <w:t>（十）负责全市劳动用工的综合管理工作。落实劳动关系政策和劳动人事争议调解仲裁制度，完善劳动关系协商协调机制。</w:t>
      </w:r>
    </w:p>
    <w:p w14:paraId="540BD097">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hint="eastAsia" w:eastAsia="仿宋_GB2312"/>
          <w:color w:val="auto"/>
          <w:sz w:val="32"/>
          <w:szCs w:val="32"/>
          <w:u w:val="none"/>
          <w:lang w:eastAsia="zh-CN"/>
        </w:rPr>
        <w:t>（十一）</w:t>
      </w:r>
      <w:r>
        <w:rPr>
          <w:rFonts w:hAnsi="仿宋_GB2312" w:eastAsia="仿宋_GB2312"/>
          <w:color w:val="auto"/>
          <w:sz w:val="32"/>
          <w:szCs w:val="32"/>
          <w:u w:val="none"/>
        </w:rPr>
        <w:t>负责全市评比达标表彰工作的政策指导、统筹协调、审核备案和监督检查工作，</w:t>
      </w:r>
      <w:r>
        <w:rPr>
          <w:rFonts w:eastAsia="仿宋_GB2312"/>
          <w:color w:val="auto"/>
          <w:sz w:val="32"/>
          <w:szCs w:val="32"/>
          <w:u w:val="none"/>
        </w:rPr>
        <w:t>会同有关部门</w:t>
      </w:r>
      <w:r>
        <w:rPr>
          <w:rFonts w:hAnsi="仿宋_GB2312" w:eastAsia="仿宋_GB2312"/>
          <w:color w:val="auto"/>
          <w:sz w:val="32"/>
          <w:szCs w:val="32"/>
          <w:u w:val="none"/>
        </w:rPr>
        <w:t>拟订我市表彰奖励制度，根据授权承办以市委、市政府名义开展的表彰奖励活动，承办国家和省表彰奖励、国务院荣誉称号在</w:t>
      </w:r>
      <w:r>
        <w:rPr>
          <w:rFonts w:hint="eastAsia" w:hAnsi="仿宋_GB2312" w:eastAsia="仿宋_GB2312"/>
          <w:color w:val="auto"/>
          <w:sz w:val="32"/>
          <w:szCs w:val="32"/>
          <w:u w:val="none"/>
          <w:lang w:eastAsia="zh-CN"/>
        </w:rPr>
        <w:t>全市</w:t>
      </w:r>
      <w:r>
        <w:rPr>
          <w:rFonts w:hAnsi="仿宋_GB2312" w:eastAsia="仿宋_GB2312"/>
          <w:color w:val="auto"/>
          <w:sz w:val="32"/>
          <w:szCs w:val="32"/>
          <w:u w:val="none"/>
        </w:rPr>
        <w:t>的推选工作</w:t>
      </w:r>
      <w:r>
        <w:rPr>
          <w:rFonts w:hint="eastAsia" w:hAnsi="仿宋_GB2312" w:eastAsia="仿宋_GB2312"/>
          <w:color w:val="auto"/>
          <w:sz w:val="32"/>
          <w:szCs w:val="32"/>
          <w:u w:val="none"/>
        </w:rPr>
        <w:t>。</w:t>
      </w:r>
    </w:p>
    <w:p w14:paraId="36B8BE2A">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（十</w:t>
      </w:r>
      <w:r>
        <w:rPr>
          <w:rFonts w:hint="eastAsia" w:eastAsia="仿宋_GB2312"/>
          <w:color w:val="auto"/>
          <w:sz w:val="32"/>
          <w:szCs w:val="32"/>
          <w:u w:val="none"/>
          <w:lang w:val="en-US" w:eastAsia="zh-CN"/>
        </w:rPr>
        <w:t>二</w:t>
      </w:r>
      <w:r>
        <w:rPr>
          <w:rFonts w:eastAsia="仿宋_GB2312"/>
          <w:color w:val="auto"/>
          <w:sz w:val="32"/>
          <w:szCs w:val="32"/>
          <w:u w:val="none"/>
        </w:rPr>
        <w:t>）负责本系统人员的教育培训工作，指导本系统队伍建设。</w:t>
      </w:r>
    </w:p>
    <w:p w14:paraId="1B773E29">
      <w:pPr>
        <w:keepNext w:val="0"/>
        <w:keepLines w:val="0"/>
        <w:pageBreakBefore w:val="0"/>
        <w:kinsoku/>
        <w:wordWrap/>
        <w:overflowPunct/>
        <w:topLinePunct w:val="0"/>
        <w:bidi w:val="0"/>
        <w:snapToGrid/>
        <w:spacing w:beforeAutospacing="0" w:afterAutospacing="0" w:line="560" w:lineRule="exact"/>
        <w:ind w:firstLine="640" w:firstLineChars="200"/>
        <w:textAlignment w:val="auto"/>
        <w:outlineLvl w:val="9"/>
        <w:rPr>
          <w:rFonts w:eastAsia="仿宋_GB2312"/>
          <w:color w:val="auto"/>
          <w:sz w:val="32"/>
          <w:szCs w:val="32"/>
          <w:u w:val="none"/>
        </w:rPr>
      </w:pPr>
      <w:r>
        <w:rPr>
          <w:rFonts w:eastAsia="仿宋_GB2312"/>
          <w:color w:val="auto"/>
          <w:sz w:val="32"/>
          <w:szCs w:val="32"/>
          <w:u w:val="none"/>
        </w:rPr>
        <w:t>（十</w:t>
      </w:r>
      <w:r>
        <w:rPr>
          <w:rFonts w:hint="eastAsia" w:eastAsia="仿宋_GB2312"/>
          <w:color w:val="auto"/>
          <w:sz w:val="32"/>
          <w:szCs w:val="32"/>
          <w:u w:val="none"/>
          <w:lang w:eastAsia="zh-CN"/>
        </w:rPr>
        <w:t>三</w:t>
      </w:r>
      <w:r>
        <w:rPr>
          <w:rFonts w:eastAsia="仿宋_GB2312"/>
          <w:color w:val="auto"/>
          <w:sz w:val="32"/>
          <w:szCs w:val="32"/>
          <w:u w:val="none"/>
        </w:rPr>
        <w:t>）承办市政府和上级部门交办的工作。检查指导各区人力资源和社会保障工作。</w:t>
      </w:r>
    </w:p>
    <w:p w14:paraId="3B54682E">
      <w:pPr>
        <w:pStyle w:val="7"/>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jc w:val="left"/>
        <w:textAlignment w:val="auto"/>
        <w:outlineLvl w:val="9"/>
        <w:rPr>
          <w:rFonts w:eastAsia="仿宋_GB2312"/>
          <w:color w:val="auto"/>
          <w:kern w:val="0"/>
          <w:sz w:val="32"/>
          <w:szCs w:val="32"/>
          <w:u w:val="none"/>
        </w:rPr>
      </w:pPr>
      <w:r>
        <w:rPr>
          <w:rFonts w:eastAsia="仿宋_GB2312"/>
          <w:color w:val="auto"/>
          <w:sz w:val="32"/>
          <w:szCs w:val="32"/>
          <w:u w:val="none"/>
        </w:rPr>
        <w:t>（十</w:t>
      </w:r>
      <w:r>
        <w:rPr>
          <w:rFonts w:hint="eastAsia" w:eastAsia="仿宋_GB2312"/>
          <w:color w:val="auto"/>
          <w:sz w:val="32"/>
          <w:szCs w:val="32"/>
          <w:u w:val="none"/>
          <w:lang w:eastAsia="zh-CN"/>
        </w:rPr>
        <w:t>四</w:t>
      </w:r>
      <w:r>
        <w:rPr>
          <w:rFonts w:eastAsia="仿宋_GB2312"/>
          <w:color w:val="auto"/>
          <w:sz w:val="32"/>
          <w:szCs w:val="32"/>
          <w:u w:val="none"/>
        </w:rPr>
        <w:t>）</w:t>
      </w:r>
      <w:r>
        <w:rPr>
          <w:rFonts w:eastAsia="仿宋_GB2312"/>
          <w:color w:val="auto"/>
          <w:kern w:val="0"/>
          <w:sz w:val="32"/>
          <w:szCs w:val="32"/>
          <w:u w:val="none"/>
        </w:rPr>
        <w:t>有关职责分工。与市教育局的有关职责分工。大中专毕业生就业政策、服务指导由市人力资源和社会保障局牵头，市教育局等部门协助配合。</w:t>
      </w:r>
    </w:p>
    <w:p w14:paraId="60000C21">
      <w:pPr>
        <w:pStyle w:val="7"/>
        <w:keepNext w:val="0"/>
        <w:keepLines w:val="0"/>
        <w:pageBreakBefore w:val="0"/>
        <w:numPr>
          <w:ilvl w:val="0"/>
          <w:numId w:val="0"/>
        </w:numPr>
        <w:kinsoku/>
        <w:wordWrap/>
        <w:overflowPunct/>
        <w:topLinePunct w:val="0"/>
        <w:bidi w:val="0"/>
        <w:snapToGrid/>
        <w:spacing w:beforeAutospacing="0" w:afterAutospacing="0" w:line="560" w:lineRule="exact"/>
        <w:jc w:val="left"/>
        <w:textAlignment w:val="auto"/>
        <w:outlineLvl w:val="9"/>
        <w:rPr>
          <w:rFonts w:ascii="黑体" w:hAnsi="黑体" w:eastAsia="黑体" w:cs="仿宋_GB2312"/>
          <w:sz w:val="32"/>
          <w:szCs w:val="32"/>
        </w:rPr>
      </w:pPr>
      <w:r>
        <w:rPr>
          <w:rFonts w:hint="eastAsia" w:ascii="黑体" w:hAnsi="黑体" w:eastAsia="黑体" w:cs="黑体"/>
          <w:color w:val="auto"/>
          <w:kern w:val="0"/>
          <w:sz w:val="32"/>
          <w:szCs w:val="32"/>
          <w:u w:val="none"/>
          <w:lang w:eastAsia="zh-CN"/>
        </w:rPr>
        <w:t>二、</w:t>
      </w:r>
      <w:r>
        <w:rPr>
          <w:rFonts w:hint="eastAsia" w:ascii="黑体" w:hAnsi="黑体" w:eastAsia="黑体" w:cs="仿宋_GB2312"/>
          <w:sz w:val="32"/>
          <w:szCs w:val="32"/>
        </w:rPr>
        <w:t>部门预算单位构成</w:t>
      </w:r>
    </w:p>
    <w:p w14:paraId="246D3C13">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纳入 2026 年部门预算编制范围的单位包括：</w:t>
      </w:r>
    </w:p>
    <w:p w14:paraId="06D61877">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b w:val="0"/>
          <w:i w:val="0"/>
          <w:caps w:val="0"/>
          <w:color w:val="auto"/>
          <w:spacing w:val="0"/>
          <w:sz w:val="32"/>
          <w:szCs w:val="32"/>
        </w:rPr>
      </w:pPr>
      <w:r>
        <w:rPr>
          <w:rFonts w:eastAsia="仿宋_GB2312"/>
          <w:color w:val="auto"/>
          <w:sz w:val="32"/>
          <w:szCs w:val="32"/>
          <w:u w:val="none"/>
        </w:rPr>
        <w:t>（</w:t>
      </w:r>
      <w:r>
        <w:rPr>
          <w:rFonts w:hint="eastAsia" w:eastAsia="仿宋_GB2312"/>
          <w:color w:val="auto"/>
          <w:sz w:val="32"/>
          <w:szCs w:val="32"/>
          <w:u w:val="none"/>
          <w:lang w:val="en-US" w:eastAsia="zh-CN"/>
        </w:rPr>
        <w:t>一</w:t>
      </w:r>
      <w:r>
        <w:rPr>
          <w:rFonts w:eastAsia="仿宋_GB2312"/>
          <w:color w:val="auto"/>
          <w:sz w:val="32"/>
          <w:szCs w:val="32"/>
          <w:u w:val="none"/>
        </w:rPr>
        <w:t>）</w:t>
      </w:r>
      <w:r>
        <w:rPr>
          <w:rFonts w:hint="eastAsia" w:ascii="仿宋_GB2312" w:hAnsi="仿宋_GB2312" w:eastAsia="仿宋_GB2312" w:cs="仿宋_GB2312"/>
          <w:b w:val="0"/>
          <w:i w:val="0"/>
          <w:caps w:val="0"/>
          <w:color w:val="auto"/>
          <w:spacing w:val="0"/>
          <w:sz w:val="32"/>
          <w:szCs w:val="32"/>
        </w:rPr>
        <w:t>行政单位： 三亚市人力资源和社会保障局（本级）。</w:t>
      </w:r>
    </w:p>
    <w:p w14:paraId="0363F41A">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b w:val="0"/>
          <w:i w:val="0"/>
          <w:caps w:val="0"/>
          <w:color w:val="auto"/>
          <w:spacing w:val="0"/>
          <w:sz w:val="32"/>
          <w:szCs w:val="32"/>
        </w:rPr>
      </w:pPr>
      <w:r>
        <w:rPr>
          <w:rFonts w:eastAsia="仿宋_GB2312"/>
          <w:color w:val="auto"/>
          <w:sz w:val="32"/>
          <w:szCs w:val="32"/>
          <w:u w:val="none"/>
        </w:rPr>
        <w:t>（</w:t>
      </w:r>
      <w:r>
        <w:rPr>
          <w:rFonts w:hint="eastAsia" w:eastAsia="仿宋_GB2312"/>
          <w:color w:val="auto"/>
          <w:sz w:val="32"/>
          <w:szCs w:val="32"/>
          <w:u w:val="none"/>
          <w:lang w:val="en-US" w:eastAsia="zh-CN"/>
        </w:rPr>
        <w:t>二</w:t>
      </w:r>
      <w:r>
        <w:rPr>
          <w:rFonts w:eastAsia="仿宋_GB2312"/>
          <w:color w:val="auto"/>
          <w:sz w:val="32"/>
          <w:szCs w:val="32"/>
          <w:u w:val="none"/>
        </w:rPr>
        <w:t>）</w:t>
      </w:r>
      <w:r>
        <w:rPr>
          <w:rFonts w:hint="eastAsia" w:ascii="仿宋_GB2312" w:hAnsi="仿宋_GB2312" w:eastAsia="仿宋_GB2312" w:cs="仿宋_GB2312"/>
          <w:b w:val="0"/>
          <w:i w:val="0"/>
          <w:caps w:val="0"/>
          <w:color w:val="auto"/>
          <w:spacing w:val="0"/>
          <w:sz w:val="32"/>
          <w:szCs w:val="32"/>
        </w:rPr>
        <w:t>下属参公及事业单位： 三亚市人力资源开发局、三亚市劳动人事争议仲裁院、三亚市人事社会保障服务中心纳入三亚市人力资源和社会保障局20</w:t>
      </w:r>
      <w:r>
        <w:rPr>
          <w:rFonts w:hint="eastAsia" w:ascii="仿宋_GB2312" w:hAnsi="仿宋_GB2312" w:eastAsia="仿宋_GB2312" w:cs="仿宋_GB2312"/>
          <w:b w:val="0"/>
          <w:i w:val="0"/>
          <w:caps w:val="0"/>
          <w:color w:val="auto"/>
          <w:spacing w:val="0"/>
          <w:sz w:val="32"/>
          <w:szCs w:val="32"/>
          <w:lang w:val="en-US" w:eastAsia="zh-CN"/>
        </w:rPr>
        <w:t>26</w:t>
      </w:r>
      <w:r>
        <w:rPr>
          <w:rFonts w:hint="eastAsia" w:ascii="仿宋_GB2312" w:hAnsi="仿宋_GB2312" w:eastAsia="仿宋_GB2312" w:cs="仿宋_GB2312"/>
          <w:b w:val="0"/>
          <w:i w:val="0"/>
          <w:caps w:val="0"/>
          <w:color w:val="auto"/>
          <w:spacing w:val="0"/>
          <w:sz w:val="32"/>
          <w:szCs w:val="32"/>
        </w:rPr>
        <w:t>年部门预算编制范围的二级预算单位详细情况如下表：</w:t>
      </w:r>
    </w:p>
    <w:tbl>
      <w:tblPr>
        <w:tblStyle w:val="5"/>
        <w:tblW w:w="8533" w:type="dxa"/>
        <w:tblCellSpacing w:w="0" w:type="dxa"/>
        <w:tblInd w:w="0" w:type="dxa"/>
        <w:shd w:val="clear" w:color="auto" w:fill="auto"/>
        <w:tblLayout w:type="fixed"/>
        <w:tblCellMar>
          <w:top w:w="0" w:type="dxa"/>
          <w:left w:w="0" w:type="dxa"/>
          <w:bottom w:w="0" w:type="dxa"/>
          <w:right w:w="0" w:type="dxa"/>
        </w:tblCellMar>
      </w:tblPr>
      <w:tblGrid>
        <w:gridCol w:w="1021"/>
        <w:gridCol w:w="5815"/>
        <w:gridCol w:w="1697"/>
      </w:tblGrid>
      <w:tr w14:paraId="7F0EE80A">
        <w:tblPrEx>
          <w:shd w:val="clear" w:color="auto" w:fill="auto"/>
        </w:tblPrEx>
        <w:trPr>
          <w:tblCellSpacing w:w="0" w:type="dxa"/>
        </w:trPr>
        <w:tc>
          <w:tcPr>
            <w:tcW w:w="1021" w:type="dxa"/>
            <w:shd w:val="clear" w:color="auto" w:fill="auto"/>
            <w:vAlign w:val="center"/>
          </w:tcPr>
          <w:p w14:paraId="5DE99D96">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序号</w:t>
            </w:r>
          </w:p>
        </w:tc>
        <w:tc>
          <w:tcPr>
            <w:tcW w:w="5815" w:type="dxa"/>
            <w:shd w:val="clear" w:color="auto" w:fill="auto"/>
            <w:vAlign w:val="center"/>
          </w:tcPr>
          <w:p w14:paraId="63D2ECD4">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二级预算单位名称</w:t>
            </w:r>
          </w:p>
        </w:tc>
        <w:tc>
          <w:tcPr>
            <w:tcW w:w="1697" w:type="dxa"/>
            <w:shd w:val="clear" w:color="auto" w:fill="auto"/>
            <w:vAlign w:val="center"/>
          </w:tcPr>
          <w:p w14:paraId="1489143D">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单位性质</w:t>
            </w:r>
          </w:p>
        </w:tc>
      </w:tr>
      <w:tr w14:paraId="5C8026E2">
        <w:tblPrEx>
          <w:shd w:val="clear" w:color="auto" w:fill="auto"/>
          <w:tblCellMar>
            <w:top w:w="0" w:type="dxa"/>
            <w:left w:w="0" w:type="dxa"/>
            <w:bottom w:w="0" w:type="dxa"/>
            <w:right w:w="0" w:type="dxa"/>
          </w:tblCellMar>
        </w:tblPrEx>
        <w:trPr>
          <w:tblCellSpacing w:w="0" w:type="dxa"/>
        </w:trPr>
        <w:tc>
          <w:tcPr>
            <w:tcW w:w="1021" w:type="dxa"/>
            <w:shd w:val="clear" w:color="auto" w:fill="auto"/>
            <w:vAlign w:val="center"/>
          </w:tcPr>
          <w:p w14:paraId="5A6DA728">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1</w:t>
            </w:r>
          </w:p>
        </w:tc>
        <w:tc>
          <w:tcPr>
            <w:tcW w:w="5815" w:type="dxa"/>
            <w:shd w:val="clear" w:color="auto" w:fill="auto"/>
            <w:vAlign w:val="center"/>
          </w:tcPr>
          <w:p w14:paraId="23CF6B3C">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三亚市人力资源和社会保障局本级</w:t>
            </w:r>
          </w:p>
        </w:tc>
        <w:tc>
          <w:tcPr>
            <w:tcW w:w="1697" w:type="dxa"/>
            <w:shd w:val="clear" w:color="auto" w:fill="auto"/>
            <w:vAlign w:val="center"/>
          </w:tcPr>
          <w:p w14:paraId="59E8CB6F">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行政单位</w:t>
            </w:r>
          </w:p>
        </w:tc>
      </w:tr>
      <w:tr w14:paraId="608B809D">
        <w:tblPrEx>
          <w:tblCellMar>
            <w:top w:w="0" w:type="dxa"/>
            <w:left w:w="0" w:type="dxa"/>
            <w:bottom w:w="0" w:type="dxa"/>
            <w:right w:w="0" w:type="dxa"/>
          </w:tblCellMar>
        </w:tblPrEx>
        <w:trPr>
          <w:tblCellSpacing w:w="0" w:type="dxa"/>
        </w:trPr>
        <w:tc>
          <w:tcPr>
            <w:tcW w:w="1021" w:type="dxa"/>
            <w:shd w:val="clear" w:color="auto" w:fill="auto"/>
            <w:vAlign w:val="center"/>
          </w:tcPr>
          <w:p w14:paraId="573DB96F">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2</w:t>
            </w:r>
          </w:p>
        </w:tc>
        <w:tc>
          <w:tcPr>
            <w:tcW w:w="5815" w:type="dxa"/>
            <w:shd w:val="clear" w:color="auto" w:fill="auto"/>
            <w:vAlign w:val="center"/>
          </w:tcPr>
          <w:p w14:paraId="506EA341">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三亚市人力资源开发局</w:t>
            </w:r>
          </w:p>
        </w:tc>
        <w:tc>
          <w:tcPr>
            <w:tcW w:w="1697" w:type="dxa"/>
            <w:shd w:val="clear" w:color="auto" w:fill="auto"/>
            <w:vAlign w:val="center"/>
          </w:tcPr>
          <w:p w14:paraId="654D0830">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参公单位</w:t>
            </w:r>
          </w:p>
        </w:tc>
      </w:tr>
      <w:tr w14:paraId="0C5DC6AB">
        <w:tblPrEx>
          <w:tblCellMar>
            <w:top w:w="0" w:type="dxa"/>
            <w:left w:w="0" w:type="dxa"/>
            <w:bottom w:w="0" w:type="dxa"/>
            <w:right w:w="0" w:type="dxa"/>
          </w:tblCellMar>
        </w:tblPrEx>
        <w:trPr>
          <w:tblCellSpacing w:w="0" w:type="dxa"/>
        </w:trPr>
        <w:tc>
          <w:tcPr>
            <w:tcW w:w="1021" w:type="dxa"/>
            <w:shd w:val="clear" w:color="auto" w:fill="auto"/>
            <w:vAlign w:val="center"/>
          </w:tcPr>
          <w:p w14:paraId="08C05911">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3</w:t>
            </w:r>
          </w:p>
        </w:tc>
        <w:tc>
          <w:tcPr>
            <w:tcW w:w="5815" w:type="dxa"/>
            <w:shd w:val="clear" w:color="auto" w:fill="auto"/>
            <w:vAlign w:val="center"/>
          </w:tcPr>
          <w:p w14:paraId="53026402">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三亚市</w:t>
            </w:r>
            <w:r>
              <w:rPr>
                <w:rFonts w:hint="eastAsia" w:ascii="仿宋_GB2312" w:hAnsi="仿宋_GB2312" w:eastAsia="仿宋_GB2312" w:cs="仿宋_GB2312"/>
                <w:caps w:val="0"/>
                <w:color w:val="auto"/>
                <w:spacing w:val="0"/>
                <w:sz w:val="32"/>
                <w:szCs w:val="32"/>
                <w:lang w:val="en-US" w:eastAsia="zh-CN"/>
              </w:rPr>
              <w:t>人事社会保障服务</w:t>
            </w:r>
            <w:r>
              <w:rPr>
                <w:rFonts w:hint="eastAsia" w:ascii="仿宋_GB2312" w:hAnsi="仿宋_GB2312" w:eastAsia="仿宋_GB2312" w:cs="仿宋_GB2312"/>
                <w:caps w:val="0"/>
                <w:color w:val="auto"/>
                <w:spacing w:val="0"/>
                <w:sz w:val="32"/>
                <w:szCs w:val="32"/>
              </w:rPr>
              <w:t>中心</w:t>
            </w:r>
          </w:p>
        </w:tc>
        <w:tc>
          <w:tcPr>
            <w:tcW w:w="1697" w:type="dxa"/>
            <w:shd w:val="clear" w:color="auto" w:fill="auto"/>
            <w:vAlign w:val="center"/>
          </w:tcPr>
          <w:p w14:paraId="42080C87">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事业单位</w:t>
            </w:r>
          </w:p>
        </w:tc>
      </w:tr>
      <w:tr w14:paraId="257EE1D3">
        <w:tblPrEx>
          <w:tblCellMar>
            <w:top w:w="0" w:type="dxa"/>
            <w:left w:w="0" w:type="dxa"/>
            <w:bottom w:w="0" w:type="dxa"/>
            <w:right w:w="0" w:type="dxa"/>
          </w:tblCellMar>
        </w:tblPrEx>
        <w:trPr>
          <w:tblCellSpacing w:w="0" w:type="dxa"/>
        </w:trPr>
        <w:tc>
          <w:tcPr>
            <w:tcW w:w="1021" w:type="dxa"/>
            <w:shd w:val="clear" w:color="auto" w:fill="auto"/>
            <w:vAlign w:val="center"/>
          </w:tcPr>
          <w:p w14:paraId="1425AF3C">
            <w:pPr>
              <w:pStyle w:val="4"/>
              <w:keepNext w:val="0"/>
              <w:keepLines w:val="0"/>
              <w:pageBreakBefore w:val="0"/>
              <w:widowControl/>
              <w:suppressLineNumbers w:val="0"/>
              <w:kinsoku/>
              <w:wordWrap/>
              <w:overflowPunct/>
              <w:topLinePunct w:val="0"/>
              <w:bidi w:val="0"/>
              <w:snapToGrid/>
              <w:spacing w:beforeAutospacing="0" w:afterAutospacing="0"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4</w:t>
            </w:r>
          </w:p>
        </w:tc>
        <w:tc>
          <w:tcPr>
            <w:tcW w:w="5815" w:type="dxa"/>
            <w:shd w:val="clear" w:color="auto" w:fill="auto"/>
            <w:vAlign w:val="center"/>
          </w:tcPr>
          <w:p w14:paraId="4CE2F919">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三亚市劳动人事争议仲裁院</w:t>
            </w:r>
          </w:p>
        </w:tc>
        <w:tc>
          <w:tcPr>
            <w:tcW w:w="1697" w:type="dxa"/>
            <w:shd w:val="clear" w:color="auto" w:fill="auto"/>
            <w:vAlign w:val="center"/>
          </w:tcPr>
          <w:p w14:paraId="41E4FA38">
            <w:pPr>
              <w:pStyle w:val="4"/>
              <w:keepNext w:val="0"/>
              <w:keepLines w:val="0"/>
              <w:pageBreakBefore w:val="0"/>
              <w:widowControl/>
              <w:suppressLineNumbers w:val="0"/>
              <w:kinsoku/>
              <w:wordWrap/>
              <w:overflowPunct/>
              <w:topLinePunct w:val="0"/>
              <w:bidi w:val="0"/>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aps w:val="0"/>
                <w:color w:val="auto"/>
                <w:spacing w:val="0"/>
                <w:sz w:val="32"/>
                <w:szCs w:val="32"/>
              </w:rPr>
              <w:t>事业单位</w:t>
            </w:r>
          </w:p>
        </w:tc>
      </w:tr>
    </w:tbl>
    <w:p w14:paraId="063F3E39">
      <w:pPr>
        <w:keepNext w:val="0"/>
        <w:keepLines w:val="0"/>
        <w:pageBreakBefore w:val="0"/>
        <w:kinsoku/>
        <w:wordWrap/>
        <w:overflowPunct/>
        <w:topLinePunct w:val="0"/>
        <w:bidi w:val="0"/>
        <w:snapToGrid/>
        <w:spacing w:beforeAutospacing="0" w:afterAutospacing="0" w:line="560" w:lineRule="exact"/>
        <w:jc w:val="both"/>
        <w:textAlignment w:val="auto"/>
        <w:outlineLvl w:val="9"/>
        <w:rPr>
          <w:rFonts w:hint="eastAsia" w:ascii="黑体" w:hAnsi="黑体" w:eastAsia="黑体"/>
          <w:sz w:val="32"/>
          <w:szCs w:val="32"/>
        </w:rPr>
      </w:pPr>
    </w:p>
    <w:p w14:paraId="0B4515D4">
      <w:pPr>
        <w:keepNext w:val="0"/>
        <w:keepLines w:val="0"/>
        <w:pageBreakBefore w:val="0"/>
        <w:kinsoku/>
        <w:wordWrap/>
        <w:overflowPunct/>
        <w:topLinePunct w:val="0"/>
        <w:bidi w:val="0"/>
        <w:snapToGrid/>
        <w:spacing w:beforeAutospacing="0" w:afterAutospacing="0" w:line="56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三亚市人力资源和社会保障局</w:t>
      </w:r>
      <w:r>
        <w:rPr>
          <w:rFonts w:hint="eastAsia" w:ascii="黑体" w:hAnsi="黑体" w:eastAsia="黑体"/>
          <w:sz w:val="32"/>
          <w:szCs w:val="32"/>
        </w:rPr>
        <w:t>部门预算表</w:t>
      </w:r>
    </w:p>
    <w:p w14:paraId="114CB4F6">
      <w:pPr>
        <w:keepNext w:val="0"/>
        <w:keepLines w:val="0"/>
        <w:pageBreakBefore w:val="0"/>
        <w:kinsoku/>
        <w:wordWrap/>
        <w:overflowPunct/>
        <w:topLinePunct w:val="0"/>
        <w:bidi w:val="0"/>
        <w:snapToGrid/>
        <w:spacing w:beforeAutospacing="0" w:afterAutospacing="0" w:line="560" w:lineRule="exact"/>
        <w:ind w:left="0" w:firstLine="640" w:firstLineChars="200"/>
        <w:jc w:val="left"/>
        <w:textAlignment w:val="auto"/>
        <w:outlineLvl w:val="9"/>
        <w:rPr>
          <w:rFonts w:ascii="仿宋_GB2312" w:hAnsi="黑体" w:eastAsia="仿宋_GB2312"/>
          <w:b/>
          <w:sz w:val="32"/>
          <w:szCs w:val="32"/>
        </w:rPr>
      </w:pPr>
      <w:r>
        <w:rPr>
          <w:rFonts w:hint="eastAsia" w:ascii="仿宋_GB2312" w:hAnsi="黑体" w:eastAsia="仿宋_GB2312"/>
          <w:b w:val="0"/>
          <w:sz w:val="32"/>
          <w:szCs w:val="32"/>
          <w:lang w:val="en-US" w:eastAsia="zh-CN"/>
        </w:rPr>
        <w:t>见</w:t>
      </w:r>
      <w:r>
        <w:rPr>
          <w:rFonts w:hint="eastAsia" w:ascii="仿宋_GB2312" w:hAnsi="黑体" w:eastAsia="仿宋_GB2312"/>
          <w:b w:val="0"/>
          <w:sz w:val="32"/>
          <w:szCs w:val="32"/>
        </w:rPr>
        <w:t>部门预算公开表</w:t>
      </w:r>
    </w:p>
    <w:p w14:paraId="6F0AFB0B">
      <w:pPr>
        <w:keepNext w:val="0"/>
        <w:keepLines w:val="0"/>
        <w:pageBreakBefore w:val="0"/>
        <w:kinsoku/>
        <w:wordWrap/>
        <w:overflowPunct/>
        <w:topLinePunct w:val="0"/>
        <w:bidi w:val="0"/>
        <w:snapToGrid/>
        <w:spacing w:beforeAutospacing="0" w:afterAutospacing="0" w:line="560" w:lineRule="exact"/>
        <w:ind w:firstLine="640" w:firstLineChars="200"/>
        <w:jc w:val="center"/>
        <w:textAlignment w:val="auto"/>
        <w:outlineLvl w:val="9"/>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三亚市人力资源和社会保障局</w:t>
      </w:r>
      <w:r>
        <w:rPr>
          <w:rFonts w:hint="eastAsia" w:ascii="黑体" w:hAnsi="黑体" w:eastAsia="黑体" w:cs="黑体"/>
          <w:sz w:val="32"/>
          <w:szCs w:val="32"/>
          <w:lang w:val="en-US" w:eastAsia="zh-CN"/>
        </w:rPr>
        <w:t>2026</w:t>
      </w:r>
      <w:r>
        <w:rPr>
          <w:rFonts w:hint="eastAsia" w:ascii="黑体" w:hAnsi="黑体" w:eastAsia="黑体"/>
          <w:sz w:val="32"/>
          <w:szCs w:val="32"/>
        </w:rPr>
        <w:t>年部门预算情况说明</w:t>
      </w:r>
    </w:p>
    <w:p w14:paraId="095F5DE3">
      <w:pPr>
        <w:keepNext w:val="0"/>
        <w:keepLines w:val="0"/>
        <w:pageBreakBefore w:val="0"/>
        <w:kinsoku/>
        <w:wordWrap/>
        <w:overflowPunct/>
        <w:topLinePunct w:val="0"/>
        <w:bidi w:val="0"/>
        <w:snapToGrid/>
        <w:spacing w:beforeAutospacing="0" w:afterAutospacing="0" w:line="560" w:lineRule="exact"/>
        <w:jc w:val="center"/>
        <w:textAlignment w:val="auto"/>
        <w:outlineLvl w:val="9"/>
        <w:rPr>
          <w:rFonts w:ascii="黑体" w:hAnsi="黑体" w:eastAsia="黑体"/>
          <w:sz w:val="32"/>
          <w:szCs w:val="32"/>
        </w:rPr>
      </w:pPr>
    </w:p>
    <w:p w14:paraId="401282CB">
      <w:pPr>
        <w:keepNext w:val="0"/>
        <w:keepLines w:val="0"/>
        <w:pageBreakBefore w:val="0"/>
        <w:kinsoku/>
        <w:wordWrap/>
        <w:overflowPunct/>
        <w:topLinePunct w:val="0"/>
        <w:bidi w:val="0"/>
        <w:snapToGrid/>
        <w:spacing w:beforeAutospacing="0" w:afterAutospacing="0" w:line="560" w:lineRule="exact"/>
        <w:ind w:firstLine="640" w:firstLineChars="200"/>
        <w:jc w:val="left"/>
        <w:textAlignment w:val="auto"/>
        <w:outlineLvl w:val="9"/>
        <w:rPr>
          <w:rFonts w:hint="eastAsia" w:ascii="仿宋_GB2312" w:hAnsi="黑体" w:eastAsia="仿宋_GB2312"/>
          <w:sz w:val="32"/>
          <w:szCs w:val="32"/>
          <w:lang w:eastAsia="zh-CN"/>
        </w:rPr>
      </w:pPr>
      <w:r>
        <w:rPr>
          <w:rFonts w:hint="eastAsia" w:ascii="黑体" w:hAnsi="黑体" w:eastAsia="黑体"/>
          <w:sz w:val="32"/>
          <w:szCs w:val="32"/>
        </w:rPr>
        <w:t>一、关于三亚市人力资源和社会保障局</w:t>
      </w:r>
      <w:r>
        <w:rPr>
          <w:rFonts w:hint="eastAsia" w:ascii="黑体" w:hAnsi="黑体" w:eastAsia="黑体"/>
          <w:sz w:val="32"/>
          <w:szCs w:val="32"/>
          <w:lang w:val="en-US" w:eastAsia="zh-CN"/>
        </w:rPr>
        <w:t>部门</w:t>
      </w:r>
      <w:r>
        <w:rPr>
          <w:rFonts w:hint="eastAsia" w:ascii="黑体" w:hAnsi="黑体" w:eastAsia="黑体"/>
          <w:sz w:val="32"/>
          <w:szCs w:val="32"/>
        </w:rPr>
        <w:t xml:space="preserve"> 2026 年财政拨款收支预算情况的总体说明</w:t>
      </w:r>
    </w:p>
    <w:p w14:paraId="351FAF47">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黑体" w:hAnsi="黑体" w:eastAsia="黑体"/>
          <w:sz w:val="32"/>
          <w:szCs w:val="32"/>
        </w:rPr>
      </w:pPr>
      <w:r>
        <w:rPr>
          <w:rFonts w:hint="eastAsia" w:ascii="仿宋_GB2312" w:hAnsi="黑体" w:eastAsia="仿宋_GB2312"/>
          <w:sz w:val="32"/>
          <w:szCs w:val="32"/>
          <w:lang w:eastAsia="zh-CN"/>
        </w:rPr>
        <w:t>三亚市人力资源和社会保障局 2026 年财政拨款收支总预算 20,964.41 万元。其中，收入总计 20,964.41 万元，包括一般公共预算本年收入 18,978.76 万元、上年结转 1,985.65 万元；支出总计 20,964.41 万元，主要用于社会保障和就业支出 19,814.56 万元，卫生健康支出 380.00 万元，农林水支出 556.57 万元，住房保障支出 213.27 万元。</w:t>
      </w:r>
    </w:p>
    <w:p w14:paraId="7711399B">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ascii="黑体" w:hAnsi="黑体" w:eastAsia="黑体"/>
          <w:sz w:val="32"/>
          <w:szCs w:val="32"/>
        </w:rPr>
      </w:pPr>
      <w:r>
        <w:rPr>
          <w:rFonts w:hint="eastAsia" w:ascii="黑体" w:hAnsi="黑体" w:eastAsia="黑体"/>
          <w:sz w:val="32"/>
          <w:szCs w:val="32"/>
        </w:rPr>
        <w:t>二、关于三亚市人力资源和社会保障局</w:t>
      </w:r>
      <w:r>
        <w:rPr>
          <w:rFonts w:hint="eastAsia" w:ascii="黑体" w:hAnsi="黑体" w:eastAsia="黑体"/>
          <w:sz w:val="32"/>
          <w:szCs w:val="32"/>
          <w:lang w:val="en-US" w:eastAsia="zh-CN"/>
        </w:rPr>
        <w:t>部门</w:t>
      </w:r>
      <w:r>
        <w:rPr>
          <w:rFonts w:hint="eastAsia" w:ascii="黑体" w:hAnsi="黑体" w:eastAsia="黑体"/>
          <w:sz w:val="32"/>
          <w:szCs w:val="32"/>
        </w:rPr>
        <w:t>2026 年一般公共预算当年拨款情况说明</w:t>
      </w:r>
    </w:p>
    <w:p w14:paraId="67950646">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楷体" w:hAnsi="楷体" w:eastAsia="楷体"/>
          <w:sz w:val="32"/>
          <w:szCs w:val="32"/>
        </w:rPr>
      </w:pPr>
      <w:r>
        <w:rPr>
          <w:rFonts w:hint="eastAsia" w:ascii="楷体" w:hAnsi="楷体" w:eastAsia="楷体"/>
          <w:sz w:val="32"/>
          <w:szCs w:val="32"/>
        </w:rPr>
        <w:t>（一）一般公共预算当年规模变化情况</w:t>
      </w:r>
    </w:p>
    <w:p w14:paraId="4B6C9729">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楷体" w:hAnsi="楷体" w:eastAsia="楷体"/>
          <w:sz w:val="32"/>
          <w:szCs w:val="32"/>
        </w:rPr>
      </w:pPr>
      <w:r>
        <w:rPr>
          <w:rFonts w:hint="eastAsia" w:ascii="仿宋_GB2312" w:hAnsi="黑体" w:eastAsia="仿宋_GB2312"/>
          <w:sz w:val="32"/>
          <w:szCs w:val="32"/>
        </w:rPr>
        <w:t>三亚市人力资源和社会保障局 2026 年一般公共预算当年拨款 18,978.76 万元，比上年预算数（18,387.81万元）增加 590.95 万元，增长主要原因是人员工资调整及就业创业、人才引进等项目支出增加。</w:t>
      </w:r>
    </w:p>
    <w:p w14:paraId="0A671095">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楷体" w:hAnsi="楷体" w:eastAsia="楷体"/>
          <w:sz w:val="32"/>
          <w:szCs w:val="32"/>
        </w:rPr>
      </w:pPr>
      <w:r>
        <w:rPr>
          <w:rFonts w:hint="eastAsia" w:ascii="楷体" w:hAnsi="楷体" w:eastAsia="楷体"/>
          <w:sz w:val="32"/>
          <w:szCs w:val="32"/>
        </w:rPr>
        <w:t>（二）一般公共预算当年拨款结构情况</w:t>
      </w:r>
    </w:p>
    <w:p w14:paraId="3458576B">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仿宋_GB2312" w:hAnsi="黑体" w:eastAsia="仿宋_GB2312"/>
          <w:sz w:val="32"/>
          <w:szCs w:val="32"/>
        </w:rPr>
      </w:pPr>
      <w:r>
        <w:rPr>
          <w:rFonts w:hint="eastAsia" w:ascii="仿宋_GB2312" w:hAnsi="黑体" w:eastAsia="仿宋_GB2312"/>
          <w:sz w:val="32"/>
          <w:szCs w:val="32"/>
        </w:rPr>
        <w:t>社会保障和就业支出（类）19,814.56 万元，占 94.51%；卫生健康支出（类）380.00 万元，占 1.81%；农林水支出（类）556.57 万元，占 2.65%；住房保障支出（类）213.27 万元，占 1.02%。</w:t>
      </w:r>
    </w:p>
    <w:p w14:paraId="1A9C0035">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楷体" w:hAnsi="楷体" w:eastAsia="楷体"/>
          <w:sz w:val="32"/>
          <w:szCs w:val="32"/>
        </w:rPr>
      </w:pPr>
      <w:r>
        <w:rPr>
          <w:rFonts w:hint="eastAsia" w:ascii="楷体" w:hAnsi="楷体" w:eastAsia="楷体"/>
          <w:sz w:val="32"/>
          <w:szCs w:val="32"/>
        </w:rPr>
        <w:t>（三）一般公共预算当年拨款具体使用情况</w:t>
      </w:r>
    </w:p>
    <w:p w14:paraId="52968701">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楷体" w:hAnsi="楷体" w:eastAsia="楷体"/>
          <w:sz w:val="32"/>
          <w:szCs w:val="32"/>
        </w:rPr>
      </w:pPr>
      <w:r>
        <w:rPr>
          <w:rFonts w:hint="eastAsia" w:ascii="仿宋_GB2312" w:hAnsi="黑体" w:eastAsia="仿宋_GB2312"/>
          <w:sz w:val="32"/>
          <w:szCs w:val="32"/>
        </w:rPr>
        <w:t>社会保障和就业支出（类）人力资源和社会保障管理事务（款） 2026 年预算数为 6,526.07 万元，主要用于行政运行、一般行政管理事务、信息化建设及劳动人事争议调解仲裁等。</w:t>
      </w:r>
    </w:p>
    <w:p w14:paraId="23611B20">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仿宋_GB2312" w:hAnsi="黑体" w:eastAsia="仿宋_GB2312"/>
          <w:sz w:val="32"/>
          <w:szCs w:val="32"/>
        </w:rPr>
      </w:pPr>
      <w:r>
        <w:rPr>
          <w:rFonts w:hint="eastAsia" w:ascii="仿宋_GB2312" w:hAnsi="黑体" w:eastAsia="仿宋_GB2312"/>
          <w:sz w:val="32"/>
          <w:szCs w:val="32"/>
        </w:rPr>
        <w:t>社会保障和就业支出（类）行政事业单位养老支出（款） 2026 年预算数为 344.41 万元，主要用于机关事业单位基本养老保险和职业年金缴费。</w:t>
      </w:r>
    </w:p>
    <w:p w14:paraId="669069BA">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仿宋_GB2312" w:hAnsi="黑体" w:eastAsia="仿宋_GB2312"/>
          <w:sz w:val="32"/>
          <w:szCs w:val="32"/>
        </w:rPr>
      </w:pPr>
      <w:r>
        <w:rPr>
          <w:rFonts w:hint="eastAsia" w:ascii="仿宋_GB2312" w:hAnsi="黑体" w:eastAsia="仿宋_GB2312"/>
          <w:sz w:val="32"/>
          <w:szCs w:val="32"/>
        </w:rPr>
        <w:t>社会保障和就业支出（类）就业补助（款） 2026 年预算数为 12,944.09 万元，主要用于就业创业服务补助、社会保险补贴、职业技能评价补贴及就业见习补贴等。</w:t>
      </w:r>
    </w:p>
    <w:p w14:paraId="3CE705EB">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仿宋_GB2312" w:hAnsi="黑体" w:eastAsia="仿宋_GB2312"/>
          <w:sz w:val="32"/>
          <w:szCs w:val="32"/>
        </w:rPr>
      </w:pPr>
      <w:r>
        <w:rPr>
          <w:rFonts w:hint="eastAsia" w:ascii="仿宋_GB2312" w:hAnsi="黑体" w:eastAsia="仿宋_GB2312"/>
          <w:sz w:val="32"/>
          <w:szCs w:val="32"/>
        </w:rPr>
        <w:t>卫生健康支出（类）行政事业单位医疗（款） 2026 年预算数为 380.00 万元，主要用于行政单位医疗和公务员医疗补助。</w:t>
      </w:r>
    </w:p>
    <w:p w14:paraId="7399D4A4">
      <w:pPr>
        <w:keepNext w:val="0"/>
        <w:keepLines w:val="0"/>
        <w:pageBreakBefore w:val="0"/>
        <w:kinsoku/>
        <w:wordWrap/>
        <w:overflowPunct/>
        <w:topLinePunct w:val="0"/>
        <w:bidi w:val="0"/>
        <w:snapToGrid/>
        <w:spacing w:beforeAutospacing="0" w:afterAutospacing="0" w:line="560" w:lineRule="exact"/>
        <w:ind w:firstLine="640"/>
        <w:jc w:val="left"/>
        <w:textAlignment w:val="auto"/>
        <w:outlineLvl w:val="9"/>
        <w:rPr>
          <w:rFonts w:hint="eastAsia" w:ascii="仿宋_GB2312" w:hAnsi="黑体" w:eastAsia="仿宋_GB2312"/>
          <w:sz w:val="32"/>
          <w:szCs w:val="32"/>
        </w:rPr>
      </w:pPr>
      <w:r>
        <w:rPr>
          <w:rFonts w:hint="eastAsia" w:ascii="仿宋_GB2312" w:hAnsi="黑体" w:eastAsia="仿宋_GB2312"/>
          <w:sz w:val="32"/>
          <w:szCs w:val="32"/>
        </w:rPr>
        <w:t>农林水支出（类）普惠金融发展支出（款） 2026 年预算数为 556.57 万元，主要用于创业担保贷款贴息及奖补。</w:t>
      </w:r>
    </w:p>
    <w:p w14:paraId="557EE42D">
      <w:pPr>
        <w:spacing w:line="560" w:lineRule="exact"/>
        <w:ind w:firstLine="640" w:firstLineChars="0"/>
        <w:jc w:val="left"/>
        <w:outlineLvl w:val="9"/>
        <w:rPr>
          <w:rFonts w:ascii="仿宋_GB2312" w:hAnsi="黑体" w:eastAsia="仿宋_GB2312"/>
          <w:sz w:val="32"/>
          <w:szCs w:val="32"/>
        </w:rPr>
      </w:pPr>
      <w:r>
        <w:rPr>
          <w:rFonts w:hint="eastAsia" w:ascii="仿宋_GB2312" w:hAnsi="黑体" w:eastAsia="仿宋_GB2312"/>
          <w:sz w:val="32"/>
          <w:szCs w:val="32"/>
        </w:rPr>
        <w:t>住房保障支出（类）住房改革支出（款） 2026 年预算数为 213.27 万元，主要用于住房公积金支出。</w:t>
      </w:r>
    </w:p>
    <w:p w14:paraId="6D2F338E">
      <w:pPr>
        <w:ind w:firstLine="640"/>
        <w:rPr>
          <w:rFonts w:hint="eastAsia" w:ascii="黑体" w:hAnsi="黑体" w:eastAsia="黑体"/>
          <w:sz w:val="32"/>
          <w:szCs w:val="32"/>
        </w:rPr>
      </w:pPr>
      <w:r>
        <w:rPr>
          <w:rFonts w:hint="eastAsia" w:ascii="黑体" w:hAnsi="黑体" w:eastAsia="黑体"/>
          <w:sz w:val="32"/>
          <w:szCs w:val="32"/>
        </w:rPr>
        <w:t>三、关于三亚市人力资源和社会保障局 2026 年一般公共预算基本支出情况说明</w:t>
      </w:r>
    </w:p>
    <w:p w14:paraId="76C66F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三亚市人力资源和社会保障局 2026 年一般公共预算基本支出为 3,118.31 万元，其中：</w:t>
      </w:r>
    </w:p>
    <w:p w14:paraId="2923A25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 2,888.18 万元，主要包括：基本工资、津贴补贴、奖金、绩效工资、机关事业单位基本养老保险缴费、职业年金缴费、职工基本医疗保险缴费、公务员医疗补助缴费、其他社会保障缴费、住房公积金、医疗费、其他工资福利支出。</w:t>
      </w:r>
    </w:p>
    <w:p w14:paraId="492B750C">
      <w:pPr>
        <w:ind w:firstLine="640" w:firstLineChars="200"/>
        <w:rPr>
          <w:rFonts w:hint="eastAsia" w:ascii="黑体" w:hAnsi="黑体" w:eastAsia="黑体" w:cs="Times New Roman"/>
          <w:sz w:val="32"/>
          <w:shd w:val="clear" w:color="auto" w:fill="FFFFFF"/>
        </w:rPr>
      </w:pPr>
      <w:r>
        <w:rPr>
          <w:rFonts w:hint="eastAsia" w:ascii="仿宋_GB2312" w:hAnsi="仿宋_GB2312" w:eastAsia="仿宋_GB2312" w:cs="仿宋_GB2312"/>
          <w:sz w:val="32"/>
          <w:szCs w:val="32"/>
          <w:lang w:val="en-US" w:eastAsia="zh-CN"/>
        </w:rPr>
        <w:t>公用经费 230.12 万元，主要包括：办公费、印刷费、手续费、邮电费、差旅费、维修（护）费、会议费、培训费、公务接待费、工会经费、公务用车运行维护费、其他交通费用、其他商品和服务支出。</w:t>
      </w:r>
    </w:p>
    <w:p w14:paraId="2D8EBAD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val="en-US" w:eastAsia="zh-CN"/>
        </w:rPr>
        <w:t>三亚市人力资源和社会保障局部门2026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6A8404C3">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（一）三亚市人力资源和社会保障局 2026 年一般公共预算“三公”经费预算数为 7.09 万元，其中：</w:t>
      </w:r>
    </w:p>
    <w:p w14:paraId="7BEDF7CE">
      <w:pPr>
        <w:ind w:firstLine="640" w:firstLineChars="200"/>
        <w:rPr>
          <w:rFonts w:hint="eastAsia" w:ascii="仿宋_GB2312" w:hAnsi="黑体" w:eastAsia="仿宋_GB2312"/>
          <w:sz w:val="32"/>
          <w:szCs w:val="32"/>
        </w:rPr>
      </w:pPr>
      <w:r>
        <w:rPr>
          <w:rFonts w:hint="eastAsia" w:ascii="仿宋_GB2312" w:hAnsi="黑体" w:eastAsia="仿宋_GB2312"/>
          <w:sz w:val="32"/>
          <w:szCs w:val="32"/>
        </w:rPr>
        <w:t>因公出国（境）经费 0 万元。公务用车购置及运行费 3.69 万元（其中，公务用车购置费 0 万元，公务用车运行维护费 3.69 万元），公务车保有量预计为 1 辆（具体数据需结合资产表，此处根据预算推断）；公务接待费 3.40 万元。与上年对比：2026年预算数7.09万元，较上年预算数8.51万元有所下降，主要原因是压减公务用车运行维护费。</w:t>
      </w:r>
    </w:p>
    <w:p w14:paraId="7F794196">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（二）三亚市人力资源和社会保障局 2026 年政府性基金预算“三公”经费预算数为 0 万元。</w:t>
      </w:r>
    </w:p>
    <w:p w14:paraId="3768A4A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val="en-US" w:eastAsia="zh-CN"/>
        </w:rPr>
        <w:t>三亚市人力资源和社会保障局部门2026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2EDB660E">
      <w:pPr>
        <w:ind w:firstLine="640" w:firstLineChars="200"/>
        <w:rPr>
          <w:rFonts w:hint="eastAsia" w:ascii="黑体" w:hAnsi="黑体" w:eastAsia="黑体" w:cs="Times New Roman"/>
          <w:sz w:val="32"/>
          <w:shd w:val="clear" w:color="auto" w:fill="FFFFFF"/>
        </w:rPr>
      </w:pPr>
      <w:r>
        <w:rPr>
          <w:rFonts w:hint="eastAsia" w:ascii="仿宋_GB2312" w:hAnsi="黑体" w:eastAsia="仿宋_GB2312"/>
          <w:sz w:val="32"/>
          <w:szCs w:val="32"/>
        </w:rPr>
        <w:t>三亚市人力资源和社会保障局 2026 年政府性基金预算当年拨款 0 万元。</w:t>
      </w:r>
    </w:p>
    <w:p w14:paraId="4E3B663C">
      <w:pPr>
        <w:numPr>
          <w:ilvl w:val="0"/>
          <w:numId w:val="6"/>
        </w:numPr>
        <w:ind w:left="0"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国有资本经营预算当年拨款情况说明</w:t>
      </w:r>
    </w:p>
    <w:p w14:paraId="1C2BF166">
      <w:pPr>
        <w:numPr>
          <w:ilvl w:val="-1"/>
          <w:numId w:val="0"/>
        </w:numPr>
        <w:ind w:firstLine="640" w:firstLineChars="0"/>
        <w:jc w:val="left"/>
        <w:rPr>
          <w:rFonts w:hint="eastAsia" w:ascii="仿宋_GB2312" w:hAnsi="黑体" w:eastAsia="仿宋_GB2312" w:cs="黑体"/>
          <w:sz w:val="32"/>
          <w:szCs w:val="32"/>
          <w:shd w:val="clear" w:color="auto" w:fill="auto"/>
        </w:rPr>
      </w:pPr>
      <w:r>
        <w:rPr>
          <w:rFonts w:hint="eastAsia" w:ascii="仿宋_GB2312" w:hAnsi="黑体" w:eastAsia="仿宋_GB2312" w:cs="黑体"/>
          <w:i w:val="0"/>
          <w:iCs w:val="0"/>
          <w:caps w:val="0"/>
          <w:color w:val="auto"/>
          <w:spacing w:val="0"/>
          <w:sz w:val="32"/>
          <w:szCs w:val="32"/>
          <w:shd w:val="clear" w:fill="auto"/>
        </w:rPr>
        <w:t>三亚市人力资源和社会保障局 2026 年国有资本经营预算当年拨款 0 万元。</w:t>
      </w:r>
    </w:p>
    <w:p w14:paraId="15CF2D06">
      <w:pPr>
        <w:numPr>
          <w:ilvl w:val="0"/>
          <w:numId w:val="0"/>
        </w:numPr>
        <w:ind w:left="0"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 、</w:t>
      </w:r>
      <w:r>
        <w:rPr>
          <w:rFonts w:hint="eastAsia" w:ascii="黑体" w:hAnsi="黑体" w:eastAsia="黑体" w:cs="Times New Roman"/>
          <w:sz w:val="32"/>
          <w:shd w:val="clear" w:color="auto" w:fill="FFFFFF"/>
        </w:rPr>
        <w:t>关于</w:t>
      </w:r>
      <w:r>
        <w:rPr>
          <w:rFonts w:hint="eastAsia" w:ascii="黑体" w:hAnsi="黑体" w:eastAsia="黑体" w:cs="黑体"/>
          <w:sz w:val="32"/>
          <w:szCs w:val="32"/>
          <w:lang w:val="en-US" w:eastAsia="zh-CN"/>
        </w:rPr>
        <w:t>三亚市人力资源和社会保障局部门2026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378953CC">
      <w:pPr>
        <w:ind w:firstLine="640" w:firstLineChars="200"/>
        <w:rPr>
          <w:rFonts w:hint="eastAsia" w:ascii="黑体" w:hAnsi="黑体" w:eastAsia="黑体" w:cs="Times New Roman"/>
          <w:sz w:val="32"/>
          <w:shd w:val="clear" w:color="auto" w:fill="FFFFFF"/>
        </w:rPr>
      </w:pPr>
      <w:r>
        <w:rPr>
          <w:rFonts w:hint="eastAsia" w:ascii="仿宋_GB2312" w:hAnsi="黑体" w:eastAsia="仿宋_GB2312" w:cs="仿宋_GB2312"/>
          <w:sz w:val="32"/>
          <w:szCs w:val="32"/>
        </w:rPr>
        <w:t>按照综合预算原则，三亚市人力资源和社会保障局所有收入和支出均纳入部门预算管理。收入包括：一般公共预算收入、上年结转资金；支出包括：社会保障和就业支出、卫生健康支出、农林水支出、住房保障支出。三亚市人力资源和社会保障局 2026 年收支总预算 20,964.41 万元。</w:t>
      </w:r>
    </w:p>
    <w:p w14:paraId="1844C4C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cs="黑体"/>
          <w:sz w:val="32"/>
          <w:szCs w:val="32"/>
          <w:lang w:val="en-US" w:eastAsia="zh-CN"/>
        </w:rPr>
        <w:t>三亚市人力资源和社会保障局部门2026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368B1EFA">
      <w:pPr>
        <w:ind w:firstLine="640" w:firstLineChars="200"/>
        <w:rPr>
          <w:rFonts w:hint="eastAsia" w:ascii="黑体" w:hAnsi="黑体" w:eastAsia="黑体" w:cs="Times New Roman"/>
          <w:sz w:val="32"/>
          <w:shd w:val="clear" w:color="auto" w:fill="FFFFFF"/>
        </w:rPr>
      </w:pPr>
      <w:r>
        <w:rPr>
          <w:rFonts w:hint="eastAsia" w:ascii="仿宋_GB2312" w:hAnsi="仿宋_GB2312" w:eastAsia="仿宋_GB2312" w:cs="仿宋_GB2312"/>
          <w:sz w:val="32"/>
          <w:szCs w:val="32"/>
          <w:lang w:val="en-US" w:eastAsia="zh-CN"/>
        </w:rPr>
        <w:t>三亚市人力资源和社会保障局 2026 年收入预算 20,964.41 万元，其中：上年结转 1,985.65 万元，占 9.47%；一般公共预算拨款收入 18,978.76 万元，占 90.53%。</w:t>
      </w:r>
    </w:p>
    <w:p w14:paraId="46413D2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黑体"/>
          <w:sz w:val="32"/>
          <w:szCs w:val="32"/>
          <w:lang w:val="en-US" w:eastAsia="zh-CN"/>
        </w:rPr>
        <w:t>三亚市人力资源和社会保障局部门2026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B29115F">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lang w:val="en-US" w:eastAsia="zh-CN"/>
        </w:rPr>
        <w:t>三亚市人力资源和社会保障局 2026 年支出预算 20,964.41 万元，其中：基本支出 3,118.31 万元，占 14.87%；项目支出 17,846.10 万元，占 85.13%。</w:t>
      </w:r>
    </w:p>
    <w:p w14:paraId="518AF73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44CD4854">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6B820F27">
      <w:pPr>
        <w:numPr>
          <w:ilvl w:val="0"/>
          <w:numId w:val="0"/>
        </w:numPr>
        <w:ind w:firstLine="640" w:firstLineChars="0"/>
        <w:jc w:val="left"/>
        <w:rPr>
          <w:rFonts w:hint="eastAsia" w:ascii="楷体" w:hAnsi="楷体" w:eastAsia="楷体"/>
          <w:sz w:val="32"/>
          <w:szCs w:val="32"/>
        </w:rPr>
      </w:pPr>
      <w:r>
        <w:rPr>
          <w:rFonts w:hint="eastAsia" w:ascii="仿宋_GB2312" w:hAnsi="黑体" w:eastAsia="仿宋_GB2312"/>
          <w:sz w:val="32"/>
          <w:szCs w:val="32"/>
        </w:rPr>
        <w:t>2026 年三亚市人力资源和社会保障局（含行政及参公单位）机关运行经费预算 230.12 万元，比上年预算数（178.33万元）增加 51.79 万元，主要原因是保障单位日常运转的公用经费预算增加。</w:t>
      </w:r>
    </w:p>
    <w:p w14:paraId="72BFE39E">
      <w:pPr>
        <w:ind w:firstLine="640" w:firstLineChars="200"/>
        <w:rPr>
          <w:rFonts w:hint="eastAsia" w:ascii="楷体" w:hAnsi="楷体" w:eastAsia="楷体"/>
          <w:sz w:val="32"/>
          <w:szCs w:val="32"/>
        </w:rPr>
      </w:pPr>
      <w:r>
        <w:rPr>
          <w:rFonts w:hint="eastAsia" w:ascii="楷体" w:hAnsi="楷体" w:eastAsia="楷体"/>
          <w:sz w:val="32"/>
          <w:szCs w:val="32"/>
        </w:rPr>
        <w:t>（二）政府采购情况</w:t>
      </w:r>
    </w:p>
    <w:p w14:paraId="14EAAD48">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2026 年三亚市人力资源和社会保障局政府采购预算总额 0 万元</w:t>
      </w:r>
    </w:p>
    <w:p w14:paraId="0F193314">
      <w:pPr>
        <w:ind w:firstLine="640" w:firstLineChars="200"/>
        <w:rPr>
          <w:rFonts w:hint="eastAsia" w:ascii="楷体" w:hAnsi="楷体" w:eastAsia="楷体"/>
          <w:sz w:val="32"/>
          <w:szCs w:val="32"/>
        </w:rPr>
      </w:pPr>
      <w:r>
        <w:rPr>
          <w:rFonts w:hint="eastAsia" w:ascii="楷体" w:hAnsi="楷体" w:eastAsia="楷体"/>
          <w:sz w:val="32"/>
          <w:szCs w:val="32"/>
        </w:rPr>
        <w:t>（三）国有资产占有使用情况</w:t>
      </w:r>
    </w:p>
    <w:p w14:paraId="1D5D4013">
      <w:pPr>
        <w:numPr>
          <w:ilvl w:val="0"/>
          <w:numId w:val="0"/>
        </w:numPr>
        <w:ind w:firstLine="640" w:firstLineChars="0"/>
        <w:jc w:val="left"/>
        <w:rPr>
          <w:rFonts w:hint="eastAsia" w:ascii="仿宋_GB2312" w:hAnsi="黑体" w:eastAsia="仿宋_GB2312"/>
          <w:sz w:val="32"/>
          <w:szCs w:val="32"/>
          <w:lang w:eastAsia="zh-CN"/>
        </w:rPr>
      </w:pPr>
      <w:r>
        <w:rPr>
          <w:rFonts w:hint="eastAsia" w:ascii="仿宋_GB2312" w:hAnsi="黑体" w:eastAsia="仿宋_GB2312"/>
          <w:sz w:val="32"/>
          <w:szCs w:val="32"/>
        </w:rPr>
        <w:t>截至 2026 年 12 月 31 日，三亚市人力资源和社会保障局系统共有车辆 1 辆</w:t>
      </w:r>
      <w:r>
        <w:rPr>
          <w:rFonts w:hint="eastAsia" w:ascii="仿宋_GB2312" w:hAnsi="黑体" w:eastAsia="仿宋_GB2312"/>
          <w:sz w:val="32"/>
          <w:szCs w:val="32"/>
          <w:lang w:eastAsia="zh-CN"/>
        </w:rPr>
        <w:t>。</w:t>
      </w:r>
    </w:p>
    <w:p w14:paraId="4D611E74">
      <w:pPr>
        <w:ind w:firstLine="640" w:firstLineChars="200"/>
        <w:rPr>
          <w:rFonts w:hint="eastAsia" w:ascii="楷体" w:hAnsi="楷体" w:eastAsia="楷体"/>
          <w:sz w:val="32"/>
          <w:szCs w:val="32"/>
        </w:rPr>
      </w:pPr>
      <w:r>
        <w:rPr>
          <w:rFonts w:hint="eastAsia" w:ascii="楷体" w:hAnsi="楷体" w:eastAsia="楷体"/>
          <w:sz w:val="32"/>
          <w:szCs w:val="32"/>
        </w:rPr>
        <w:t>（四）绩效目标设置情况</w:t>
      </w:r>
    </w:p>
    <w:p w14:paraId="2971383D">
      <w:pPr>
        <w:ind w:firstLine="640" w:firstLineChars="200"/>
        <w:jc w:val="center"/>
        <w:rPr>
          <w:rFonts w:ascii="黑体" w:hAnsi="黑体" w:eastAsia="黑体"/>
          <w:sz w:val="32"/>
          <w:szCs w:val="32"/>
        </w:rPr>
      </w:pPr>
      <w:r>
        <w:rPr>
          <w:rFonts w:hint="eastAsia" w:ascii="仿宋_GB2312" w:hAnsi="黑体" w:eastAsia="仿宋_GB2312"/>
          <w:sz w:val="32"/>
          <w:szCs w:val="32"/>
        </w:rPr>
        <w:t>2026 年三亚市人力资源和社会保障局所有项目支出均实行绩效目标管理，涉及一般公共预算 18,978.76 万元。主要项目包括“就业补助资金”、“创业担保贷款贴息”、“人才开发专项资金”等，具体绩效指标详见项目支出绩效信息表。</w:t>
      </w:r>
    </w:p>
    <w:p w14:paraId="7BC2C463">
      <w:pPr>
        <w:jc w:val="left"/>
        <w:rPr>
          <w:rFonts w:ascii="仿宋_GB2312" w:hAnsi="宋体" w:eastAsia="仿宋_GB2312" w:cs="宋体"/>
          <w:color w:val="000000"/>
          <w:kern w:val="0"/>
          <w:sz w:val="32"/>
          <w:szCs w:val="30"/>
        </w:rPr>
      </w:pPr>
    </w:p>
    <w:p w14:paraId="7432C06D">
      <w:pPr>
        <w:jc w:val="left"/>
        <w:rPr>
          <w:rFonts w:ascii="仿宋_GB2312" w:hAnsi="宋体" w:eastAsia="仿宋_GB2312" w:cs="宋体"/>
          <w:color w:val="000000"/>
          <w:kern w:val="0"/>
          <w:sz w:val="32"/>
          <w:szCs w:val="30"/>
        </w:rPr>
      </w:pPr>
    </w:p>
    <w:p w14:paraId="0F6192F7">
      <w:pPr>
        <w:jc w:val="center"/>
        <w:rPr>
          <w:rFonts w:ascii="黑体" w:hAnsi="黑体" w:eastAsia="黑体"/>
          <w:b/>
          <w:sz w:val="32"/>
          <w:szCs w:val="32"/>
        </w:rPr>
      </w:pPr>
      <w:r>
        <w:rPr>
          <w:rFonts w:hint="eastAsia" w:ascii="黑体" w:hAnsi="黑体" w:eastAsia="黑体"/>
          <w:b/>
          <w:sz w:val="32"/>
          <w:szCs w:val="32"/>
        </w:rPr>
        <w:t>第四部分  名词解释</w:t>
      </w:r>
    </w:p>
    <w:p w14:paraId="178F39A9">
      <w:pPr>
        <w:ind w:firstLine="640" w:firstLineChars="200"/>
        <w:jc w:val="left"/>
        <w:rPr>
          <w:rFonts w:ascii="仿宋_GB2312" w:eastAsia="仿宋_GB2312" w:cs="宋体"/>
          <w:bCs/>
          <w:color w:val="000000"/>
          <w:kern w:val="0"/>
          <w:sz w:val="32"/>
          <w:szCs w:val="32"/>
          <w:lang w:val="zh-CN"/>
        </w:rPr>
      </w:pPr>
    </w:p>
    <w:p w14:paraId="6527122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8EBD55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F20FBC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DE65FB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3441D0D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5825037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597FB2F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5717FB2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16EEF95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23410C0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64A3199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1B12FAE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C3C63B8">
      <w:pPr>
        <w:ind w:firstLine="640" w:firstLineChars="200"/>
        <w:jc w:val="left"/>
        <w:rPr>
          <w:rFonts w:ascii="仿宋_GB2312" w:hAnsi="宋体" w:eastAsia="仿宋_GB2312" w:cs="宋体"/>
          <w:color w:val="000000"/>
          <w:kern w:val="0"/>
          <w:sz w:val="32"/>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2B7385"/>
    <w:multiLevelType w:val="singleLevel"/>
    <w:tmpl w:val="242B7385"/>
    <w:lvl w:ilvl="0" w:tentative="0">
      <w:start w:val="6"/>
      <w:numFmt w:val="chineseCounting"/>
      <w:suff w:val="nothing"/>
      <w:lvlText w:val="%1、"/>
      <w:lvlJc w:val="left"/>
      <w:rPr>
        <w:rFonts w:hint="eastAsia"/>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5DE2"/>
    <w:rsid w:val="034474CB"/>
    <w:rsid w:val="09A40975"/>
    <w:rsid w:val="0AAF01F6"/>
    <w:rsid w:val="0C1F0FD6"/>
    <w:rsid w:val="0C592A14"/>
    <w:rsid w:val="0CB362DC"/>
    <w:rsid w:val="18553BCE"/>
    <w:rsid w:val="1E266E5F"/>
    <w:rsid w:val="266E43DE"/>
    <w:rsid w:val="27CC5913"/>
    <w:rsid w:val="27E14583"/>
    <w:rsid w:val="2A4D60B6"/>
    <w:rsid w:val="2ABC492D"/>
    <w:rsid w:val="2E9443E0"/>
    <w:rsid w:val="2FAC4654"/>
    <w:rsid w:val="31F951E4"/>
    <w:rsid w:val="3353465E"/>
    <w:rsid w:val="35EF5721"/>
    <w:rsid w:val="375B19C4"/>
    <w:rsid w:val="39A3097B"/>
    <w:rsid w:val="3A0510A6"/>
    <w:rsid w:val="3CC976F6"/>
    <w:rsid w:val="3EE158A3"/>
    <w:rsid w:val="3EE716F8"/>
    <w:rsid w:val="401510B4"/>
    <w:rsid w:val="498C3DC3"/>
    <w:rsid w:val="4C9F7C19"/>
    <w:rsid w:val="4CBB0D2E"/>
    <w:rsid w:val="4D0B3AA2"/>
    <w:rsid w:val="4F034669"/>
    <w:rsid w:val="50D3001A"/>
    <w:rsid w:val="53B80AEE"/>
    <w:rsid w:val="55B96517"/>
    <w:rsid w:val="5BAD6062"/>
    <w:rsid w:val="6123424C"/>
    <w:rsid w:val="645F0531"/>
    <w:rsid w:val="6BE6295E"/>
    <w:rsid w:val="762740D3"/>
    <w:rsid w:val="7CC86F47"/>
    <w:rsid w:val="7CCC2D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8296</Words>
  <Characters>9614</Characters>
  <Lines>29</Lines>
  <Paragraphs>8</Paragraphs>
  <TotalTime>6</TotalTime>
  <ScaleCrop>false</ScaleCrop>
  <LinksUpToDate>false</LinksUpToDate>
  <CharactersWithSpaces>9822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十六夜</cp:lastModifiedBy>
  <dcterms:modified xsi:type="dcterms:W3CDTF">2026-03-06T07:19:17Z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eyJoZGlkIjoiNzE3NTQ2Njc3YTE3N2U1NjMxMDA0ZjMxZmM2ZjVlODciLCJ1c2VySWQiOiI5MTM1NDc1MjEifQ==</vt:lpwstr>
  </property>
  <property fmtid="{D5CDD505-2E9C-101B-9397-08002B2CF9AE}" pid="4" name="ICV">
    <vt:lpwstr>156CC160735A40E0AA227B3E333CF73C_13</vt:lpwstr>
  </property>
</Properties>
</file>