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2024</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三亚市人力资源和社会保障局</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hint="eastAsia" w:ascii="黑体" w:hAnsi="黑体" w:eastAsia="黑体" w:cs="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三亚市人力资源和社会保障局</w:t>
      </w:r>
      <w:r>
        <w:rPr>
          <w:rFonts w:hint="eastAsia" w:ascii="黑体" w:hAnsi="黑体" w:eastAsia="黑体" w:cs="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三亚市人力资源和社会保障局</w:t>
      </w:r>
      <w:r>
        <w:rPr>
          <w:rFonts w:hint="eastAsia" w:ascii="黑体" w:hAnsi="黑体" w:eastAsia="黑体" w:cs="黑体"/>
          <w:sz w:val="32"/>
          <w:szCs w:val="32"/>
          <w:lang w:val="en-US" w:eastAsia="zh-CN"/>
        </w:rPr>
        <w:t>2024</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cs="黑体"/>
          <w:sz w:val="32"/>
          <w:szCs w:val="32"/>
          <w:lang w:eastAsia="zh-CN"/>
        </w:rPr>
        <w:t>三亚市人力资源和社会保障局</w:t>
      </w:r>
      <w:r>
        <w:rPr>
          <w:rFonts w:hint="eastAsia" w:ascii="黑体" w:hAnsi="黑体" w:eastAsia="黑体" w:cs="黑体"/>
          <w:sz w:val="32"/>
          <w:szCs w:val="32"/>
          <w:lang w:val="en-US" w:eastAsia="zh-CN"/>
        </w:rPr>
        <w:t>2024</w:t>
      </w:r>
      <w:r>
        <w:rPr>
          <w:rFonts w:hint="eastAsia" w:ascii="黑体" w:hAnsi="黑体" w:eastAsia="黑体"/>
          <w:sz w:val="32"/>
          <w:szCs w:val="32"/>
        </w:rPr>
        <w:t>年部门预算</w:t>
      </w:r>
    </w:p>
    <w:p>
      <w:pPr>
        <w:pStyle w:val="7"/>
        <w:numPr>
          <w:ilvl w:val="0"/>
          <w:numId w:val="0"/>
        </w:numPr>
        <w:ind w:firstLine="1280" w:firstLineChars="400"/>
        <w:jc w:val="left"/>
        <w:rPr>
          <w:rFonts w:ascii="仿宋_GB2312" w:hAnsi="仿宋_GB2312" w:eastAsia="仿宋_GB2312" w:cs="仿宋_GB2312"/>
          <w:sz w:val="32"/>
          <w:szCs w:val="32"/>
        </w:rPr>
      </w:pPr>
      <w:r>
        <w:rPr>
          <w:rFonts w:hint="eastAsia" w:ascii="黑体" w:hAnsi="黑体" w:eastAsia="黑体"/>
          <w:sz w:val="32"/>
          <w:szCs w:val="32"/>
        </w:rPr>
        <w:t>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0" w:leftChars="0" w:firstLine="0" w:firstLineChars="0"/>
        <w:jc w:val="left"/>
        <w:rPr>
          <w:rFonts w:ascii="黑体" w:hAnsi="黑体" w:eastAsia="黑体"/>
          <w:sz w:val="32"/>
          <w:szCs w:val="32"/>
        </w:rPr>
      </w:pPr>
    </w:p>
    <w:p>
      <w:pPr>
        <w:pStyle w:val="7"/>
        <w:keepNext w:val="0"/>
        <w:keepLines w:val="0"/>
        <w:pageBreakBefore w:val="0"/>
        <w:numPr>
          <w:ilvl w:val="0"/>
          <w:numId w:val="4"/>
        </w:numPr>
        <w:kinsoku/>
        <w:wordWrap/>
        <w:overflowPunct/>
        <w:topLinePunct w:val="0"/>
        <w:bidi w:val="0"/>
        <w:snapToGrid/>
        <w:spacing w:beforeAutospacing="0" w:afterAutospacing="0" w:line="560" w:lineRule="exact"/>
        <w:ind w:firstLineChars="0"/>
        <w:jc w:val="center"/>
        <w:textAlignment w:val="auto"/>
        <w:outlineLvl w:val="9"/>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三亚市人力资源和社会保障局</w:t>
      </w:r>
      <w:r>
        <w:rPr>
          <w:rFonts w:hint="eastAsia" w:ascii="黑体" w:hAnsi="黑体" w:eastAsia="黑体" w:cs="黑体"/>
          <w:sz w:val="32"/>
          <w:szCs w:val="32"/>
          <w:lang w:val="en-US" w:eastAsia="zh-CN"/>
        </w:rPr>
        <w:t>2024</w:t>
      </w:r>
      <w:r>
        <w:rPr>
          <w:rFonts w:hint="eastAsia" w:ascii="黑体" w:hAnsi="黑体" w:eastAsia="黑体"/>
          <w:sz w:val="32"/>
          <w:szCs w:val="32"/>
        </w:rPr>
        <w:t>年概况</w:t>
      </w:r>
    </w:p>
    <w:p>
      <w:pPr>
        <w:keepNext w:val="0"/>
        <w:keepLines w:val="0"/>
        <w:pageBreakBefore w:val="0"/>
        <w:kinsoku/>
        <w:wordWrap/>
        <w:overflowPunct/>
        <w:topLinePunct w:val="0"/>
        <w:bidi w:val="0"/>
        <w:snapToGrid/>
        <w:spacing w:beforeAutospacing="0" w:afterAutospacing="0" w:line="560" w:lineRule="exact"/>
        <w:jc w:val="left"/>
        <w:textAlignment w:val="auto"/>
        <w:outlineLvl w:val="9"/>
        <w:rPr>
          <w:rFonts w:ascii="仿宋_GB2312" w:hAnsi="仿宋_GB2312" w:eastAsia="仿宋_GB2312" w:cs="仿宋_GB2312"/>
          <w:sz w:val="32"/>
          <w:szCs w:val="32"/>
        </w:rPr>
      </w:pPr>
    </w:p>
    <w:p>
      <w:pPr>
        <w:pStyle w:val="7"/>
        <w:keepNext w:val="0"/>
        <w:keepLines w:val="0"/>
        <w:pageBreakBefore w:val="0"/>
        <w:numPr>
          <w:ilvl w:val="0"/>
          <w:numId w:val="5"/>
        </w:numPr>
        <w:kinsoku/>
        <w:wordWrap/>
        <w:overflowPunct/>
        <w:topLinePunct w:val="0"/>
        <w:bidi w:val="0"/>
        <w:snapToGrid/>
        <w:spacing w:beforeAutospacing="0" w:afterAutospacing="0" w:line="560" w:lineRule="exact"/>
        <w:ind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Ansi="仿宋_GB2312" w:eastAsia="仿宋_GB2312"/>
          <w:color w:val="auto"/>
          <w:sz w:val="32"/>
          <w:szCs w:val="32"/>
          <w:u w:val="none"/>
        </w:rPr>
      </w:pPr>
      <w:r>
        <w:rPr>
          <w:rFonts w:hAnsi="仿宋_GB2312" w:eastAsia="仿宋_GB2312"/>
          <w:color w:val="auto"/>
          <w:sz w:val="32"/>
          <w:szCs w:val="32"/>
          <w:u w:val="none"/>
        </w:rPr>
        <w:t>（一）贯彻落实党和国家</w:t>
      </w:r>
      <w:r>
        <w:rPr>
          <w:rFonts w:hint="eastAsia" w:hAnsi="仿宋_GB2312" w:eastAsia="仿宋_GB2312"/>
          <w:color w:val="auto"/>
          <w:sz w:val="32"/>
          <w:szCs w:val="32"/>
          <w:u w:val="none"/>
        </w:rPr>
        <w:t>、省</w:t>
      </w:r>
      <w:r>
        <w:rPr>
          <w:rFonts w:hint="eastAsia" w:hAnsi="仿宋_GB2312" w:eastAsia="仿宋_GB2312"/>
          <w:color w:val="auto"/>
          <w:sz w:val="32"/>
          <w:szCs w:val="32"/>
          <w:u w:val="none"/>
          <w:lang w:eastAsia="zh-CN"/>
        </w:rPr>
        <w:t>有关</w:t>
      </w:r>
      <w:r>
        <w:rPr>
          <w:rFonts w:hAnsi="仿宋_GB2312" w:eastAsia="仿宋_GB2312"/>
          <w:color w:val="auto"/>
          <w:sz w:val="32"/>
          <w:szCs w:val="32"/>
          <w:u w:val="none"/>
        </w:rPr>
        <w:t>人力资源和社会保障工作的方针政策、法律法规，执行市委市政府决策部署和中国（海南）自由贸易试验区、中国特色自由贸易港政策措施。</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eastAsia="仿宋_GB2312"/>
          <w:color w:val="auto"/>
          <w:sz w:val="32"/>
          <w:szCs w:val="32"/>
          <w:u w:val="none"/>
        </w:rPr>
      </w:pPr>
      <w:r>
        <w:rPr>
          <w:rFonts w:eastAsia="仿宋_GB2312"/>
          <w:color w:val="auto"/>
          <w:sz w:val="32"/>
          <w:szCs w:val="32"/>
          <w:u w:val="none"/>
        </w:rPr>
        <w:t>（二）依法拟</w:t>
      </w:r>
      <w:r>
        <w:rPr>
          <w:rFonts w:hint="eastAsia" w:eastAsia="仿宋_GB2312"/>
          <w:color w:val="auto"/>
          <w:sz w:val="32"/>
          <w:szCs w:val="32"/>
          <w:u w:val="none"/>
        </w:rPr>
        <w:t>订</w:t>
      </w:r>
      <w:r>
        <w:rPr>
          <w:rFonts w:eastAsia="仿宋_GB2312"/>
          <w:color w:val="auto"/>
          <w:sz w:val="32"/>
          <w:szCs w:val="32"/>
          <w:u w:val="none"/>
        </w:rPr>
        <w:t>并组织实施</w:t>
      </w:r>
      <w:r>
        <w:rPr>
          <w:rFonts w:hint="eastAsia" w:eastAsia="仿宋_GB2312"/>
          <w:color w:val="auto"/>
          <w:sz w:val="32"/>
          <w:szCs w:val="32"/>
          <w:u w:val="none"/>
          <w:lang w:eastAsia="zh-CN"/>
        </w:rPr>
        <w:t>全</w:t>
      </w:r>
      <w:r>
        <w:rPr>
          <w:rFonts w:eastAsia="仿宋_GB2312"/>
          <w:color w:val="auto"/>
          <w:sz w:val="32"/>
          <w:szCs w:val="32"/>
          <w:u w:val="none"/>
        </w:rPr>
        <w:t>市人力资源和社会保障工作的政策规定、规章制度和工作计划，推进人力资源和社会保障改革，研究提出中国（海南）自由贸易试验区、中国特色自由贸易港人力资源和社会保障工作方面的意见和建议。</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eastAsia="仿宋_GB2312"/>
          <w:color w:val="auto"/>
          <w:kern w:val="0"/>
          <w:sz w:val="32"/>
          <w:szCs w:val="32"/>
          <w:u w:val="none"/>
          <w:lang w:eastAsia="zh-CN"/>
        </w:rPr>
      </w:pPr>
      <w:r>
        <w:rPr>
          <w:rFonts w:eastAsia="仿宋_GB2312"/>
          <w:color w:val="auto"/>
          <w:kern w:val="0"/>
          <w:sz w:val="32"/>
          <w:szCs w:val="32"/>
          <w:u w:val="none"/>
        </w:rPr>
        <w:t>（三）负责全市人力资源市场的统筹规划和综合管理工作。建立统一开放、竞争有序的人力资源市场体系，健全人力资源开发机制和人力资源流动配置机制，负责全市人力资源服务标准化建设和人力资源市场监管。负责全市人力资源和社会保障统计和信息工作。负责推进全市人力资源和社会保障公共服务平台建设和诚信体系建设</w:t>
      </w:r>
      <w:r>
        <w:rPr>
          <w:rFonts w:hint="eastAsia" w:eastAsia="仿宋_GB2312"/>
          <w:color w:val="auto"/>
          <w:kern w:val="0"/>
          <w:sz w:val="32"/>
          <w:szCs w:val="32"/>
          <w:u w:val="none"/>
          <w:lang w:eastAsia="zh-CN"/>
        </w:rPr>
        <w:t>，</w:t>
      </w:r>
      <w:r>
        <w:rPr>
          <w:rFonts w:hAnsi="仿宋_GB2312" w:eastAsia="仿宋_GB2312"/>
          <w:color w:val="auto"/>
          <w:sz w:val="32"/>
          <w:szCs w:val="32"/>
          <w:u w:val="none"/>
        </w:rPr>
        <w:t>推进建设全国统一的社会保险公共服务平台</w:t>
      </w:r>
      <w:r>
        <w:rPr>
          <w:rFonts w:hint="eastAsia" w:hAnsi="仿宋_GB2312" w:eastAsia="仿宋_GB2312"/>
          <w:color w:val="auto"/>
          <w:sz w:val="32"/>
          <w:szCs w:val="32"/>
          <w:u w:val="none"/>
          <w:lang w:eastAsia="zh-CN"/>
        </w:rPr>
        <w:t>。</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eastAsia="仿宋_GB2312"/>
          <w:color w:val="auto"/>
          <w:kern w:val="0"/>
          <w:sz w:val="32"/>
          <w:szCs w:val="32"/>
          <w:u w:val="none"/>
        </w:rPr>
      </w:pPr>
      <w:r>
        <w:rPr>
          <w:rFonts w:eastAsia="仿宋_GB2312"/>
          <w:color w:val="auto"/>
          <w:kern w:val="0"/>
          <w:sz w:val="32"/>
          <w:szCs w:val="32"/>
          <w:u w:val="none"/>
        </w:rPr>
        <w:t>（四）负责全市促进就业创业工作。拟</w:t>
      </w:r>
      <w:r>
        <w:rPr>
          <w:rFonts w:hint="eastAsia" w:eastAsia="仿宋_GB2312"/>
          <w:color w:val="auto"/>
          <w:kern w:val="0"/>
          <w:sz w:val="32"/>
          <w:szCs w:val="32"/>
          <w:u w:val="none"/>
        </w:rPr>
        <w:t>订</w:t>
      </w:r>
      <w:r>
        <w:rPr>
          <w:rFonts w:eastAsia="仿宋_GB2312"/>
          <w:color w:val="auto"/>
          <w:kern w:val="0"/>
          <w:sz w:val="32"/>
          <w:szCs w:val="32"/>
          <w:u w:val="none"/>
        </w:rPr>
        <w:t>落实统筹城乡的就业发展规划和政策，完善公共就业创业服务体系，健全就业创业援助制度。拟</w:t>
      </w:r>
      <w:r>
        <w:rPr>
          <w:rFonts w:hint="eastAsia" w:eastAsia="仿宋_GB2312"/>
          <w:color w:val="auto"/>
          <w:kern w:val="0"/>
          <w:sz w:val="32"/>
          <w:szCs w:val="32"/>
          <w:u w:val="none"/>
          <w:lang w:eastAsia="zh-CN"/>
        </w:rPr>
        <w:t>订</w:t>
      </w:r>
      <w:r>
        <w:rPr>
          <w:rFonts w:eastAsia="仿宋_GB2312"/>
          <w:color w:val="auto"/>
          <w:kern w:val="0"/>
          <w:sz w:val="32"/>
          <w:szCs w:val="32"/>
          <w:u w:val="none"/>
        </w:rPr>
        <w:t>全市职业技能培训规划、职业资格制度，统筹建立面向城乡劳动者的职业培训制度，会同有关部门拟</w:t>
      </w:r>
      <w:r>
        <w:rPr>
          <w:rFonts w:hint="eastAsia" w:eastAsia="仿宋_GB2312"/>
          <w:color w:val="auto"/>
          <w:kern w:val="0"/>
          <w:sz w:val="32"/>
          <w:szCs w:val="32"/>
          <w:u w:val="none"/>
          <w:lang w:eastAsia="zh-CN"/>
        </w:rPr>
        <w:t>订</w:t>
      </w:r>
      <w:r>
        <w:rPr>
          <w:rFonts w:eastAsia="仿宋_GB2312"/>
          <w:color w:val="auto"/>
          <w:kern w:val="0"/>
          <w:sz w:val="32"/>
          <w:szCs w:val="32"/>
          <w:u w:val="none"/>
        </w:rPr>
        <w:t>技能人才培养和激励政策。</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eastAsia="仿宋_GB2312"/>
          <w:color w:val="auto"/>
          <w:kern w:val="0"/>
          <w:sz w:val="32"/>
          <w:szCs w:val="32"/>
          <w:u w:val="none"/>
        </w:rPr>
      </w:pPr>
      <w:r>
        <w:rPr>
          <w:rFonts w:eastAsia="仿宋_GB2312"/>
          <w:color w:val="auto"/>
          <w:kern w:val="0"/>
          <w:sz w:val="32"/>
          <w:szCs w:val="32"/>
          <w:u w:val="none"/>
        </w:rPr>
        <w:t>（五）负责全市城乡一体化社会保障体系的建设；综合管理</w:t>
      </w:r>
      <w:r>
        <w:rPr>
          <w:rFonts w:hint="eastAsia" w:eastAsia="仿宋_GB2312"/>
          <w:color w:val="auto"/>
          <w:kern w:val="0"/>
          <w:sz w:val="32"/>
          <w:szCs w:val="32"/>
          <w:u w:val="none"/>
          <w:lang w:eastAsia="zh-CN"/>
        </w:rPr>
        <w:t>全市</w:t>
      </w:r>
      <w:r>
        <w:rPr>
          <w:rFonts w:eastAsia="仿宋_GB2312"/>
          <w:color w:val="auto"/>
          <w:kern w:val="0"/>
          <w:sz w:val="32"/>
          <w:szCs w:val="32"/>
          <w:u w:val="none"/>
        </w:rPr>
        <w:t>社会保险工作；落实社会保障卡发行工作。</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eastAsia="仿宋_GB2312"/>
          <w:color w:val="auto"/>
          <w:sz w:val="32"/>
          <w:szCs w:val="32"/>
          <w:u w:val="none"/>
        </w:rPr>
      </w:pPr>
      <w:r>
        <w:rPr>
          <w:rFonts w:eastAsia="仿宋_GB2312"/>
          <w:color w:val="auto"/>
          <w:kern w:val="0"/>
          <w:sz w:val="32"/>
          <w:szCs w:val="32"/>
          <w:u w:val="none"/>
        </w:rPr>
        <w:t>（六）负责全市就业、失业基金预测预警和信息引导，拟</w:t>
      </w:r>
      <w:r>
        <w:rPr>
          <w:rFonts w:hint="eastAsia" w:eastAsia="仿宋_GB2312"/>
          <w:color w:val="auto"/>
          <w:kern w:val="0"/>
          <w:sz w:val="32"/>
          <w:szCs w:val="32"/>
          <w:u w:val="none"/>
        </w:rPr>
        <w:t>订</w:t>
      </w:r>
      <w:r>
        <w:rPr>
          <w:rFonts w:eastAsia="仿宋_GB2312"/>
          <w:color w:val="auto"/>
          <w:kern w:val="0"/>
          <w:sz w:val="32"/>
          <w:szCs w:val="32"/>
          <w:u w:val="none"/>
        </w:rPr>
        <w:t>应对预</w:t>
      </w:r>
      <w:r>
        <w:rPr>
          <w:rFonts w:eastAsia="仿宋_GB2312"/>
          <w:color w:val="auto"/>
          <w:sz w:val="32"/>
          <w:szCs w:val="32"/>
          <w:u w:val="none"/>
        </w:rPr>
        <w:t>案，实施预防、调节和控制，保持就业形势稳定和社会保险基金总体收支平衡。负责全市工伤认定和劳动能力鉴定工作。</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eastAsia="仿宋_GB2312"/>
          <w:color w:val="auto"/>
          <w:sz w:val="32"/>
          <w:szCs w:val="32"/>
          <w:u w:val="none"/>
        </w:rPr>
      </w:pPr>
      <w:r>
        <w:rPr>
          <w:rFonts w:eastAsia="仿宋_GB2312"/>
          <w:color w:val="auto"/>
          <w:sz w:val="32"/>
          <w:szCs w:val="32"/>
          <w:u w:val="none"/>
        </w:rPr>
        <w:t>（七）负责全市事业单位人事管理工作。会同有关部门推进全市事业单位人事制度改革，落实事业单位人员和机关工勤人员管理政策；负责政府管理的事业单位人事综合管理工作。</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eastAsia="仿宋_GB2312"/>
          <w:color w:val="auto"/>
          <w:sz w:val="32"/>
          <w:szCs w:val="32"/>
          <w:u w:val="none"/>
        </w:rPr>
      </w:pPr>
      <w:r>
        <w:rPr>
          <w:rFonts w:eastAsia="仿宋_GB2312"/>
          <w:color w:val="auto"/>
          <w:sz w:val="32"/>
          <w:szCs w:val="32"/>
          <w:u w:val="none"/>
        </w:rPr>
        <w:t>（八）负责落实事业单位人员工资收入分配政策，落实企业职工工资收入的宏观调控政策，</w:t>
      </w:r>
      <w:r>
        <w:rPr>
          <w:rFonts w:hint="eastAsia" w:eastAsia="仿宋_GB2312"/>
          <w:color w:val="auto"/>
          <w:sz w:val="32"/>
          <w:szCs w:val="32"/>
          <w:u w:val="none"/>
        </w:rPr>
        <w:t>落实</w:t>
      </w:r>
      <w:r>
        <w:rPr>
          <w:rFonts w:eastAsia="仿宋_GB2312"/>
          <w:color w:val="auto"/>
          <w:sz w:val="32"/>
          <w:szCs w:val="32"/>
          <w:u w:val="none"/>
        </w:rPr>
        <w:t>建立</w:t>
      </w:r>
      <w:r>
        <w:rPr>
          <w:rFonts w:hint="eastAsia" w:eastAsia="仿宋_GB2312"/>
          <w:color w:val="auto"/>
          <w:sz w:val="32"/>
          <w:szCs w:val="32"/>
          <w:u w:val="none"/>
        </w:rPr>
        <w:t>健全</w:t>
      </w:r>
      <w:r>
        <w:rPr>
          <w:rFonts w:eastAsia="仿宋_GB2312"/>
          <w:color w:val="auto"/>
          <w:sz w:val="32"/>
          <w:szCs w:val="32"/>
          <w:u w:val="none"/>
        </w:rPr>
        <w:t>企事业单位人员</w:t>
      </w:r>
      <w:r>
        <w:rPr>
          <w:rFonts w:hint="eastAsia" w:eastAsia="仿宋_GB2312"/>
          <w:color w:val="auto"/>
          <w:sz w:val="32"/>
          <w:szCs w:val="32"/>
          <w:u w:val="none"/>
        </w:rPr>
        <w:t>工资决定、</w:t>
      </w:r>
      <w:r>
        <w:rPr>
          <w:rFonts w:eastAsia="仿宋_GB2312"/>
          <w:color w:val="auto"/>
          <w:sz w:val="32"/>
          <w:szCs w:val="32"/>
          <w:u w:val="none"/>
        </w:rPr>
        <w:t>工资正常增长和支付保障</w:t>
      </w:r>
      <w:r>
        <w:rPr>
          <w:rFonts w:hint="eastAsia" w:eastAsia="仿宋_GB2312"/>
          <w:color w:val="auto"/>
          <w:sz w:val="32"/>
          <w:szCs w:val="32"/>
          <w:u w:val="none"/>
        </w:rPr>
        <w:t>长效</w:t>
      </w:r>
      <w:r>
        <w:rPr>
          <w:rFonts w:eastAsia="仿宋_GB2312"/>
          <w:color w:val="auto"/>
          <w:sz w:val="32"/>
          <w:szCs w:val="32"/>
          <w:u w:val="none"/>
        </w:rPr>
        <w:t>机制，负责国有企业薪酬监测并开展监督检查。落实离退休政策。</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eastAsia="仿宋_GB2312"/>
          <w:color w:val="auto"/>
          <w:sz w:val="32"/>
          <w:szCs w:val="32"/>
          <w:u w:val="none"/>
        </w:rPr>
      </w:pPr>
      <w:r>
        <w:rPr>
          <w:rFonts w:eastAsia="仿宋_GB2312"/>
          <w:color w:val="auto"/>
          <w:sz w:val="32"/>
          <w:szCs w:val="32"/>
          <w:u w:val="none"/>
        </w:rPr>
        <w:t>（九）</w:t>
      </w:r>
      <w:r>
        <w:rPr>
          <w:rFonts w:hint="eastAsia" w:eastAsia="仿宋_GB2312"/>
          <w:color w:val="auto"/>
          <w:sz w:val="32"/>
          <w:szCs w:val="32"/>
          <w:u w:val="none"/>
          <w:lang w:eastAsia="zh-CN"/>
        </w:rPr>
        <w:t>会同有关部门落实</w:t>
      </w:r>
      <w:r>
        <w:rPr>
          <w:rFonts w:eastAsia="仿宋_GB2312"/>
          <w:color w:val="auto"/>
          <w:sz w:val="32"/>
          <w:szCs w:val="32"/>
          <w:u w:val="none"/>
        </w:rPr>
        <w:t>农民工工作，协调解决农民工工作中的重点难点问题。负责全市人力资源和社会保障领域扶贫工作。</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eastAsia="仿宋_GB2312"/>
          <w:color w:val="auto"/>
          <w:sz w:val="32"/>
          <w:szCs w:val="32"/>
          <w:u w:val="none"/>
          <w:lang w:eastAsia="zh-CN"/>
        </w:rPr>
      </w:pPr>
      <w:r>
        <w:rPr>
          <w:rFonts w:eastAsia="仿宋_GB2312"/>
          <w:color w:val="auto"/>
          <w:sz w:val="32"/>
          <w:szCs w:val="32"/>
          <w:u w:val="none"/>
        </w:rPr>
        <w:t>（十）负责全市劳动用工的综合管理工作。落实劳动关系政策和劳动人事争议调解仲裁制度，完善劳动关系协商协调机制。</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eastAsia="仿宋_GB2312"/>
          <w:color w:val="auto"/>
          <w:sz w:val="32"/>
          <w:szCs w:val="32"/>
          <w:u w:val="none"/>
        </w:rPr>
      </w:pPr>
      <w:r>
        <w:rPr>
          <w:rFonts w:hint="eastAsia" w:eastAsia="仿宋_GB2312"/>
          <w:color w:val="auto"/>
          <w:sz w:val="32"/>
          <w:szCs w:val="32"/>
          <w:u w:val="none"/>
          <w:lang w:eastAsia="zh-CN"/>
        </w:rPr>
        <w:t>（十一）</w:t>
      </w:r>
      <w:r>
        <w:rPr>
          <w:rFonts w:hAnsi="仿宋_GB2312" w:eastAsia="仿宋_GB2312"/>
          <w:color w:val="auto"/>
          <w:sz w:val="32"/>
          <w:szCs w:val="32"/>
          <w:u w:val="none"/>
        </w:rPr>
        <w:t>负责全市评比达标表彰工作的政策指导、统筹协调、审核备案和监督检查工作，</w:t>
      </w:r>
      <w:r>
        <w:rPr>
          <w:rFonts w:eastAsia="仿宋_GB2312"/>
          <w:color w:val="auto"/>
          <w:sz w:val="32"/>
          <w:szCs w:val="32"/>
          <w:u w:val="none"/>
        </w:rPr>
        <w:t>会同有关部门</w:t>
      </w:r>
      <w:r>
        <w:rPr>
          <w:rFonts w:hAnsi="仿宋_GB2312" w:eastAsia="仿宋_GB2312"/>
          <w:color w:val="auto"/>
          <w:sz w:val="32"/>
          <w:szCs w:val="32"/>
          <w:u w:val="none"/>
        </w:rPr>
        <w:t>拟订我市表彰奖励制度，根据授权承办以市委、市政府名义开展的表彰奖励活动，承办国家和省表彰奖励、国务院荣誉称号在</w:t>
      </w:r>
      <w:r>
        <w:rPr>
          <w:rFonts w:hint="eastAsia" w:hAnsi="仿宋_GB2312" w:eastAsia="仿宋_GB2312"/>
          <w:color w:val="auto"/>
          <w:sz w:val="32"/>
          <w:szCs w:val="32"/>
          <w:u w:val="none"/>
          <w:lang w:eastAsia="zh-CN"/>
        </w:rPr>
        <w:t>全市</w:t>
      </w:r>
      <w:r>
        <w:rPr>
          <w:rFonts w:hAnsi="仿宋_GB2312" w:eastAsia="仿宋_GB2312"/>
          <w:color w:val="auto"/>
          <w:sz w:val="32"/>
          <w:szCs w:val="32"/>
          <w:u w:val="none"/>
        </w:rPr>
        <w:t>的推选工作</w:t>
      </w:r>
      <w:r>
        <w:rPr>
          <w:rFonts w:hint="eastAsia" w:hAnsi="仿宋_GB2312" w:eastAsia="仿宋_GB2312"/>
          <w:color w:val="auto"/>
          <w:sz w:val="32"/>
          <w:szCs w:val="32"/>
          <w:u w:val="none"/>
        </w:rPr>
        <w:t>。</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eastAsia="仿宋_GB2312"/>
          <w:color w:val="auto"/>
          <w:sz w:val="32"/>
          <w:szCs w:val="32"/>
          <w:u w:val="none"/>
        </w:rPr>
      </w:pPr>
      <w:r>
        <w:rPr>
          <w:rFonts w:eastAsia="仿宋_GB2312"/>
          <w:color w:val="auto"/>
          <w:sz w:val="32"/>
          <w:szCs w:val="32"/>
          <w:u w:val="none"/>
        </w:rPr>
        <w:t>（十</w:t>
      </w:r>
      <w:r>
        <w:rPr>
          <w:rFonts w:hint="eastAsia" w:eastAsia="仿宋_GB2312"/>
          <w:color w:val="auto"/>
          <w:sz w:val="32"/>
          <w:szCs w:val="32"/>
          <w:u w:val="none"/>
          <w:lang w:val="en-US" w:eastAsia="zh-CN"/>
        </w:rPr>
        <w:t>二</w:t>
      </w:r>
      <w:r>
        <w:rPr>
          <w:rFonts w:eastAsia="仿宋_GB2312"/>
          <w:color w:val="auto"/>
          <w:sz w:val="32"/>
          <w:szCs w:val="32"/>
          <w:u w:val="none"/>
        </w:rPr>
        <w:t>）负责本系统人员的教育培训工作，指导本系统队伍建设。</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eastAsia="仿宋_GB2312"/>
          <w:color w:val="auto"/>
          <w:sz w:val="32"/>
          <w:szCs w:val="32"/>
          <w:u w:val="none"/>
        </w:rPr>
      </w:pPr>
      <w:r>
        <w:rPr>
          <w:rFonts w:eastAsia="仿宋_GB2312"/>
          <w:color w:val="auto"/>
          <w:sz w:val="32"/>
          <w:szCs w:val="32"/>
          <w:u w:val="none"/>
        </w:rPr>
        <w:t>（十</w:t>
      </w:r>
      <w:r>
        <w:rPr>
          <w:rFonts w:hint="eastAsia" w:eastAsia="仿宋_GB2312"/>
          <w:color w:val="auto"/>
          <w:sz w:val="32"/>
          <w:szCs w:val="32"/>
          <w:u w:val="none"/>
          <w:lang w:eastAsia="zh-CN"/>
        </w:rPr>
        <w:t>三</w:t>
      </w:r>
      <w:r>
        <w:rPr>
          <w:rFonts w:eastAsia="仿宋_GB2312"/>
          <w:color w:val="auto"/>
          <w:sz w:val="32"/>
          <w:szCs w:val="32"/>
          <w:u w:val="none"/>
        </w:rPr>
        <w:t>）承办市政府和上级部门交办的工作。检查指导各区人力资源和社会保障工作。</w:t>
      </w:r>
    </w:p>
    <w:p>
      <w:pPr>
        <w:pStyle w:val="7"/>
        <w:keepNext w:val="0"/>
        <w:keepLines w:val="0"/>
        <w:pageBreakBefore w:val="0"/>
        <w:numPr>
          <w:ilvl w:val="0"/>
          <w:numId w:val="0"/>
        </w:numPr>
        <w:kinsoku/>
        <w:wordWrap/>
        <w:overflowPunct/>
        <w:topLinePunct w:val="0"/>
        <w:bidi w:val="0"/>
        <w:snapToGrid/>
        <w:spacing w:beforeAutospacing="0" w:afterAutospacing="0" w:line="560" w:lineRule="exact"/>
        <w:ind w:leftChars="0" w:firstLine="640" w:firstLineChars="200"/>
        <w:jc w:val="left"/>
        <w:textAlignment w:val="auto"/>
        <w:outlineLvl w:val="9"/>
        <w:rPr>
          <w:rFonts w:eastAsia="仿宋_GB2312"/>
          <w:color w:val="auto"/>
          <w:kern w:val="0"/>
          <w:sz w:val="32"/>
          <w:szCs w:val="32"/>
          <w:u w:val="none"/>
        </w:rPr>
      </w:pPr>
      <w:r>
        <w:rPr>
          <w:rFonts w:eastAsia="仿宋_GB2312"/>
          <w:color w:val="auto"/>
          <w:sz w:val="32"/>
          <w:szCs w:val="32"/>
          <w:u w:val="none"/>
        </w:rPr>
        <w:t>（十</w:t>
      </w:r>
      <w:r>
        <w:rPr>
          <w:rFonts w:hint="eastAsia" w:eastAsia="仿宋_GB2312"/>
          <w:color w:val="auto"/>
          <w:sz w:val="32"/>
          <w:szCs w:val="32"/>
          <w:u w:val="none"/>
          <w:lang w:eastAsia="zh-CN"/>
        </w:rPr>
        <w:t>四</w:t>
      </w:r>
      <w:r>
        <w:rPr>
          <w:rFonts w:eastAsia="仿宋_GB2312"/>
          <w:color w:val="auto"/>
          <w:sz w:val="32"/>
          <w:szCs w:val="32"/>
          <w:u w:val="none"/>
        </w:rPr>
        <w:t>）</w:t>
      </w:r>
      <w:r>
        <w:rPr>
          <w:rFonts w:eastAsia="仿宋_GB2312"/>
          <w:color w:val="auto"/>
          <w:kern w:val="0"/>
          <w:sz w:val="32"/>
          <w:szCs w:val="32"/>
          <w:u w:val="none"/>
        </w:rPr>
        <w:t>有关职责分工。与市教育局的有关职责分工。大中专毕业生就业政策、服务指导由市人力资源和社会保障局牵头，市教育局等部门协助配合。</w:t>
      </w:r>
    </w:p>
    <w:p>
      <w:pPr>
        <w:pStyle w:val="7"/>
        <w:keepNext w:val="0"/>
        <w:keepLines w:val="0"/>
        <w:pageBreakBefore w:val="0"/>
        <w:numPr>
          <w:ilvl w:val="0"/>
          <w:numId w:val="0"/>
        </w:numPr>
        <w:kinsoku/>
        <w:wordWrap/>
        <w:overflowPunct/>
        <w:topLinePunct w:val="0"/>
        <w:bidi w:val="0"/>
        <w:snapToGrid/>
        <w:spacing w:beforeAutospacing="0" w:afterAutospacing="0" w:line="560" w:lineRule="exact"/>
        <w:jc w:val="left"/>
        <w:textAlignment w:val="auto"/>
        <w:outlineLvl w:val="9"/>
        <w:rPr>
          <w:rFonts w:ascii="黑体" w:hAnsi="黑体" w:eastAsia="黑体" w:cs="仿宋_GB2312"/>
          <w:sz w:val="32"/>
          <w:szCs w:val="32"/>
        </w:rPr>
      </w:pPr>
      <w:r>
        <w:rPr>
          <w:rFonts w:hint="eastAsia" w:ascii="黑体" w:hAnsi="黑体" w:eastAsia="黑体" w:cs="黑体"/>
          <w:color w:val="auto"/>
          <w:kern w:val="0"/>
          <w:sz w:val="32"/>
          <w:szCs w:val="32"/>
          <w:u w:val="none"/>
          <w:lang w:eastAsia="zh-CN"/>
        </w:rPr>
        <w:t>二、</w:t>
      </w:r>
      <w:r>
        <w:rPr>
          <w:rFonts w:hint="eastAsia" w:ascii="黑体" w:hAnsi="黑体" w:eastAsia="黑体" w:cs="仿宋_GB2312"/>
          <w:sz w:val="32"/>
          <w:szCs w:val="32"/>
        </w:rPr>
        <w:t>部门预算单位构成</w:t>
      </w:r>
    </w:p>
    <w:p>
      <w:pPr>
        <w:pStyle w:val="4"/>
        <w:keepNext w:val="0"/>
        <w:keepLines w:val="0"/>
        <w:pageBreakBefore w:val="0"/>
        <w:widowControl/>
        <w:suppressLineNumbers w:val="0"/>
        <w:kinsoku/>
        <w:wordWrap/>
        <w:overflowPunct/>
        <w:topLinePunct w:val="0"/>
        <w:bidi w:val="0"/>
        <w:snapToGrid/>
        <w:spacing w:beforeAutospacing="0" w:afterAutospacing="0" w:line="560" w:lineRule="exact"/>
        <w:ind w:left="0" w:firstLine="640" w:firstLineChars="200"/>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纳入三亚市人力资源和社会保障局20</w:t>
      </w:r>
      <w:r>
        <w:rPr>
          <w:rFonts w:hint="eastAsia" w:ascii="仿宋_GB2312" w:hAnsi="仿宋_GB2312" w:eastAsia="仿宋_GB2312" w:cs="仿宋_GB2312"/>
          <w:b w:val="0"/>
          <w:i w:val="0"/>
          <w:caps w:val="0"/>
          <w:color w:val="auto"/>
          <w:spacing w:val="0"/>
          <w:sz w:val="32"/>
          <w:szCs w:val="32"/>
          <w:lang w:val="en-US" w:eastAsia="zh-CN"/>
        </w:rPr>
        <w:t>24</w:t>
      </w:r>
      <w:r>
        <w:rPr>
          <w:rFonts w:hint="eastAsia" w:ascii="仿宋_GB2312" w:hAnsi="仿宋_GB2312" w:eastAsia="仿宋_GB2312" w:cs="仿宋_GB2312"/>
          <w:b w:val="0"/>
          <w:i w:val="0"/>
          <w:caps w:val="0"/>
          <w:color w:val="auto"/>
          <w:spacing w:val="0"/>
          <w:sz w:val="32"/>
          <w:szCs w:val="32"/>
        </w:rPr>
        <w:t>年部门预算编制范围的二级预算单位详细情况如下表：</w:t>
      </w:r>
    </w:p>
    <w:tbl>
      <w:tblPr>
        <w:tblStyle w:val="5"/>
        <w:tblW w:w="8533" w:type="dxa"/>
        <w:tblCellSpacing w:w="0" w:type="dxa"/>
        <w:tblInd w:w="0" w:type="dxa"/>
        <w:shd w:val="clear" w:color="auto" w:fill="auto"/>
        <w:tblLayout w:type="fixed"/>
        <w:tblCellMar>
          <w:top w:w="0" w:type="dxa"/>
          <w:left w:w="0" w:type="dxa"/>
          <w:bottom w:w="0" w:type="dxa"/>
          <w:right w:w="0" w:type="dxa"/>
        </w:tblCellMar>
      </w:tblPr>
      <w:tblGrid>
        <w:gridCol w:w="1021"/>
        <w:gridCol w:w="5815"/>
        <w:gridCol w:w="1697"/>
      </w:tblGrid>
      <w:tr>
        <w:tblPrEx>
          <w:shd w:val="clear" w:color="auto" w:fill="auto"/>
          <w:tblCellMar>
            <w:top w:w="0" w:type="dxa"/>
            <w:left w:w="0" w:type="dxa"/>
            <w:bottom w:w="0" w:type="dxa"/>
            <w:right w:w="0" w:type="dxa"/>
          </w:tblCellMar>
        </w:tblPrEx>
        <w:trPr>
          <w:tblCellSpacing w:w="0" w:type="dxa"/>
        </w:trPr>
        <w:tc>
          <w:tcPr>
            <w:tcW w:w="1021"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序号</w:t>
            </w:r>
          </w:p>
        </w:tc>
        <w:tc>
          <w:tcPr>
            <w:tcW w:w="5815"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二级预算单位名称</w:t>
            </w:r>
          </w:p>
        </w:tc>
        <w:tc>
          <w:tcPr>
            <w:tcW w:w="1697"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单位性质</w:t>
            </w:r>
          </w:p>
        </w:tc>
      </w:tr>
      <w:tr>
        <w:tblPrEx>
          <w:tblCellMar>
            <w:top w:w="0" w:type="dxa"/>
            <w:left w:w="0" w:type="dxa"/>
            <w:bottom w:w="0" w:type="dxa"/>
            <w:right w:w="0" w:type="dxa"/>
          </w:tblCellMar>
        </w:tblPrEx>
        <w:trPr>
          <w:tblCellSpacing w:w="0" w:type="dxa"/>
        </w:trPr>
        <w:tc>
          <w:tcPr>
            <w:tcW w:w="1021"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1</w:t>
            </w:r>
          </w:p>
        </w:tc>
        <w:tc>
          <w:tcPr>
            <w:tcW w:w="5815"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三亚市人力资源和社会保障局本级</w:t>
            </w:r>
          </w:p>
        </w:tc>
        <w:tc>
          <w:tcPr>
            <w:tcW w:w="1697"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行政单位</w:t>
            </w:r>
          </w:p>
        </w:tc>
      </w:tr>
      <w:tr>
        <w:tblPrEx>
          <w:tblCellMar>
            <w:top w:w="0" w:type="dxa"/>
            <w:left w:w="0" w:type="dxa"/>
            <w:bottom w:w="0" w:type="dxa"/>
            <w:right w:w="0" w:type="dxa"/>
          </w:tblCellMar>
        </w:tblPrEx>
        <w:trPr>
          <w:tblCellSpacing w:w="0" w:type="dxa"/>
        </w:trPr>
        <w:tc>
          <w:tcPr>
            <w:tcW w:w="1021"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2</w:t>
            </w:r>
          </w:p>
        </w:tc>
        <w:tc>
          <w:tcPr>
            <w:tcW w:w="5815"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三亚市人力资源开发局</w:t>
            </w:r>
          </w:p>
        </w:tc>
        <w:tc>
          <w:tcPr>
            <w:tcW w:w="1697"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参公单位</w:t>
            </w:r>
          </w:p>
        </w:tc>
      </w:tr>
      <w:tr>
        <w:tblPrEx>
          <w:tblCellMar>
            <w:top w:w="0" w:type="dxa"/>
            <w:left w:w="0" w:type="dxa"/>
            <w:bottom w:w="0" w:type="dxa"/>
            <w:right w:w="0" w:type="dxa"/>
          </w:tblCellMar>
        </w:tblPrEx>
        <w:trPr>
          <w:tblCellSpacing w:w="0" w:type="dxa"/>
        </w:trPr>
        <w:tc>
          <w:tcPr>
            <w:tcW w:w="1021"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3</w:t>
            </w:r>
          </w:p>
        </w:tc>
        <w:tc>
          <w:tcPr>
            <w:tcW w:w="5815"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ind w:left="0" w:leftChars="0" w:right="0" w:rightChars="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aps w:val="0"/>
                <w:color w:val="auto"/>
                <w:spacing w:val="0"/>
                <w:sz w:val="32"/>
                <w:szCs w:val="32"/>
              </w:rPr>
              <w:t>三亚市创业就业指导中心</w:t>
            </w:r>
          </w:p>
        </w:tc>
        <w:tc>
          <w:tcPr>
            <w:tcW w:w="1697"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ind w:left="0" w:leftChars="0" w:right="0" w:rightChars="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aps w:val="0"/>
                <w:color w:val="auto"/>
                <w:spacing w:val="0"/>
                <w:sz w:val="32"/>
                <w:szCs w:val="32"/>
              </w:rPr>
              <w:t>事业单位</w:t>
            </w:r>
          </w:p>
        </w:tc>
      </w:tr>
      <w:tr>
        <w:tblPrEx>
          <w:tblCellMar>
            <w:top w:w="0" w:type="dxa"/>
            <w:left w:w="0" w:type="dxa"/>
            <w:bottom w:w="0" w:type="dxa"/>
            <w:right w:w="0" w:type="dxa"/>
          </w:tblCellMar>
        </w:tblPrEx>
        <w:trPr>
          <w:tblCellSpacing w:w="0" w:type="dxa"/>
        </w:trPr>
        <w:tc>
          <w:tcPr>
            <w:tcW w:w="1021"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4</w:t>
            </w:r>
          </w:p>
        </w:tc>
        <w:tc>
          <w:tcPr>
            <w:tcW w:w="5815"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ind w:left="0" w:leftChars="0" w:right="0" w:rightChars="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aps w:val="0"/>
                <w:color w:val="auto"/>
                <w:spacing w:val="0"/>
                <w:sz w:val="32"/>
                <w:szCs w:val="32"/>
              </w:rPr>
              <w:t>三亚市人力资源市场管理中心</w:t>
            </w:r>
          </w:p>
        </w:tc>
        <w:tc>
          <w:tcPr>
            <w:tcW w:w="1697"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ind w:left="0" w:leftChars="0" w:right="0" w:rightChars="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aps w:val="0"/>
                <w:color w:val="auto"/>
                <w:spacing w:val="0"/>
                <w:sz w:val="32"/>
                <w:szCs w:val="32"/>
              </w:rPr>
              <w:t>事业单位</w:t>
            </w:r>
          </w:p>
        </w:tc>
      </w:tr>
      <w:tr>
        <w:tblPrEx>
          <w:tblCellMar>
            <w:top w:w="0" w:type="dxa"/>
            <w:left w:w="0" w:type="dxa"/>
            <w:bottom w:w="0" w:type="dxa"/>
            <w:right w:w="0" w:type="dxa"/>
          </w:tblCellMar>
        </w:tblPrEx>
        <w:trPr>
          <w:tblCellSpacing w:w="0" w:type="dxa"/>
        </w:trPr>
        <w:tc>
          <w:tcPr>
            <w:tcW w:w="1021"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5</w:t>
            </w:r>
          </w:p>
        </w:tc>
        <w:tc>
          <w:tcPr>
            <w:tcW w:w="5815"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ind w:left="0" w:leftChars="0" w:right="0" w:rightChars="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aps w:val="0"/>
                <w:color w:val="auto"/>
                <w:spacing w:val="0"/>
                <w:sz w:val="32"/>
                <w:szCs w:val="32"/>
              </w:rPr>
              <w:t>三亚市小额贷款担保中心</w:t>
            </w:r>
          </w:p>
        </w:tc>
        <w:tc>
          <w:tcPr>
            <w:tcW w:w="1697"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ind w:left="0" w:leftChars="0" w:right="0" w:rightChars="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aps w:val="0"/>
                <w:color w:val="auto"/>
                <w:spacing w:val="0"/>
                <w:sz w:val="32"/>
                <w:szCs w:val="32"/>
              </w:rPr>
              <w:t>事业单位</w:t>
            </w:r>
          </w:p>
        </w:tc>
      </w:tr>
      <w:tr>
        <w:tblPrEx>
          <w:tblCellMar>
            <w:top w:w="0" w:type="dxa"/>
            <w:left w:w="0" w:type="dxa"/>
            <w:bottom w:w="0" w:type="dxa"/>
            <w:right w:w="0" w:type="dxa"/>
          </w:tblCellMar>
        </w:tblPrEx>
        <w:trPr>
          <w:tblCellSpacing w:w="0" w:type="dxa"/>
        </w:trPr>
        <w:tc>
          <w:tcPr>
            <w:tcW w:w="1021"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6</w:t>
            </w:r>
          </w:p>
        </w:tc>
        <w:tc>
          <w:tcPr>
            <w:tcW w:w="5815"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三亚市</w:t>
            </w:r>
            <w:r>
              <w:rPr>
                <w:rFonts w:hint="eastAsia" w:ascii="仿宋_GB2312" w:hAnsi="仿宋_GB2312" w:eastAsia="仿宋_GB2312" w:cs="仿宋_GB2312"/>
                <w:caps w:val="0"/>
                <w:color w:val="auto"/>
                <w:spacing w:val="0"/>
                <w:sz w:val="32"/>
                <w:szCs w:val="32"/>
                <w:lang w:eastAsia="zh-CN"/>
              </w:rPr>
              <w:t>一卡通</w:t>
            </w:r>
            <w:r>
              <w:rPr>
                <w:rFonts w:hint="eastAsia" w:ascii="仿宋_GB2312" w:hAnsi="仿宋_GB2312" w:eastAsia="仿宋_GB2312" w:cs="仿宋_GB2312"/>
                <w:caps w:val="0"/>
                <w:color w:val="auto"/>
                <w:spacing w:val="0"/>
                <w:sz w:val="32"/>
                <w:szCs w:val="32"/>
              </w:rPr>
              <w:t>中心</w:t>
            </w:r>
          </w:p>
        </w:tc>
        <w:tc>
          <w:tcPr>
            <w:tcW w:w="1697"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事业单位</w:t>
            </w:r>
          </w:p>
        </w:tc>
      </w:tr>
      <w:tr>
        <w:tblPrEx>
          <w:tblCellMar>
            <w:top w:w="0" w:type="dxa"/>
            <w:left w:w="0" w:type="dxa"/>
            <w:bottom w:w="0" w:type="dxa"/>
            <w:right w:w="0" w:type="dxa"/>
          </w:tblCellMar>
        </w:tblPrEx>
        <w:trPr>
          <w:tblCellSpacing w:w="0" w:type="dxa"/>
        </w:trPr>
        <w:tc>
          <w:tcPr>
            <w:tcW w:w="1021"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7</w:t>
            </w:r>
          </w:p>
        </w:tc>
        <w:tc>
          <w:tcPr>
            <w:tcW w:w="5815"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三亚市职业技能鉴定指导中心</w:t>
            </w:r>
          </w:p>
        </w:tc>
        <w:tc>
          <w:tcPr>
            <w:tcW w:w="1697"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事业单位</w:t>
            </w:r>
          </w:p>
        </w:tc>
      </w:tr>
      <w:tr>
        <w:tblPrEx>
          <w:tblCellMar>
            <w:top w:w="0" w:type="dxa"/>
            <w:left w:w="0" w:type="dxa"/>
            <w:bottom w:w="0" w:type="dxa"/>
            <w:right w:w="0" w:type="dxa"/>
          </w:tblCellMar>
        </w:tblPrEx>
        <w:trPr>
          <w:tblCellSpacing w:w="0" w:type="dxa"/>
        </w:trPr>
        <w:tc>
          <w:tcPr>
            <w:tcW w:w="1021"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8</w:t>
            </w:r>
          </w:p>
        </w:tc>
        <w:tc>
          <w:tcPr>
            <w:tcW w:w="5815"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三亚市劳动人事争议仲裁院</w:t>
            </w:r>
          </w:p>
        </w:tc>
        <w:tc>
          <w:tcPr>
            <w:tcW w:w="1697"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事业单位</w:t>
            </w:r>
          </w:p>
        </w:tc>
      </w:tr>
      <w:tr>
        <w:tblPrEx>
          <w:tblCellMar>
            <w:top w:w="0" w:type="dxa"/>
            <w:left w:w="0" w:type="dxa"/>
            <w:bottom w:w="0" w:type="dxa"/>
            <w:right w:w="0" w:type="dxa"/>
          </w:tblCellMar>
        </w:tblPrEx>
        <w:trPr>
          <w:tblCellSpacing w:w="0" w:type="dxa"/>
        </w:trPr>
        <w:tc>
          <w:tcPr>
            <w:tcW w:w="1021"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p>
        </w:tc>
        <w:tc>
          <w:tcPr>
            <w:tcW w:w="5815"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p>
        </w:tc>
        <w:tc>
          <w:tcPr>
            <w:tcW w:w="1697" w:type="dxa"/>
            <w:shd w:val="clear" w:color="auto" w:fill="auto"/>
            <w:vAlign w:val="center"/>
          </w:tcPr>
          <w:p>
            <w:pPr>
              <w:pStyle w:val="4"/>
              <w:keepNext w:val="0"/>
              <w:keepLines w:val="0"/>
              <w:pageBreakBefore w:val="0"/>
              <w:widowControl/>
              <w:suppressLineNumbers w:val="0"/>
              <w:kinsoku/>
              <w:wordWrap/>
              <w:overflowPunct/>
              <w:topLinePunct w:val="0"/>
              <w:bidi w:val="0"/>
              <w:snapToGrid/>
              <w:spacing w:beforeAutospacing="0" w:afterAutospacing="0" w:line="560" w:lineRule="exact"/>
              <w:textAlignment w:val="auto"/>
              <w:outlineLvl w:val="9"/>
              <w:rPr>
                <w:rFonts w:hint="eastAsia" w:ascii="仿宋_GB2312" w:hAnsi="仿宋_GB2312" w:eastAsia="仿宋_GB2312" w:cs="仿宋_GB2312"/>
                <w:color w:val="auto"/>
                <w:sz w:val="32"/>
                <w:szCs w:val="32"/>
              </w:rPr>
            </w:pPr>
          </w:p>
        </w:tc>
      </w:tr>
    </w:tbl>
    <w:p>
      <w:pPr>
        <w:keepNext w:val="0"/>
        <w:keepLines w:val="0"/>
        <w:pageBreakBefore w:val="0"/>
        <w:kinsoku/>
        <w:wordWrap/>
        <w:overflowPunct/>
        <w:topLinePunct w:val="0"/>
        <w:bidi w:val="0"/>
        <w:snapToGrid/>
        <w:spacing w:beforeAutospacing="0" w:afterAutospacing="0" w:line="560" w:lineRule="exact"/>
        <w:jc w:val="both"/>
        <w:textAlignment w:val="auto"/>
        <w:outlineLvl w:val="9"/>
        <w:rPr>
          <w:rFonts w:hint="eastAsia" w:ascii="黑体" w:hAnsi="黑体" w:eastAsia="黑体"/>
          <w:sz w:val="32"/>
          <w:szCs w:val="32"/>
        </w:rPr>
      </w:pPr>
    </w:p>
    <w:p>
      <w:pPr>
        <w:keepNext w:val="0"/>
        <w:keepLines w:val="0"/>
        <w:pageBreakBefore w:val="0"/>
        <w:kinsoku/>
        <w:wordWrap/>
        <w:overflowPunct/>
        <w:topLinePunct w:val="0"/>
        <w:bidi w:val="0"/>
        <w:snapToGrid/>
        <w:spacing w:beforeAutospacing="0" w:afterAutospacing="0" w:line="560" w:lineRule="exact"/>
        <w:ind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三亚市人力资源和社会保障局</w:t>
      </w:r>
      <w:r>
        <w:rPr>
          <w:rFonts w:hint="eastAsia" w:ascii="黑体" w:hAnsi="黑体" w:eastAsia="黑体"/>
          <w:sz w:val="32"/>
          <w:szCs w:val="32"/>
        </w:rPr>
        <w:t>部门预算表</w:t>
      </w:r>
    </w:p>
    <w:p>
      <w:pPr>
        <w:keepNext w:val="0"/>
        <w:keepLines w:val="0"/>
        <w:pageBreakBefore w:val="0"/>
        <w:kinsoku/>
        <w:wordWrap/>
        <w:overflowPunct/>
        <w:topLinePunct w:val="0"/>
        <w:bidi w:val="0"/>
        <w:snapToGrid/>
        <w:spacing w:beforeAutospacing="0" w:afterAutospacing="0" w:line="560" w:lineRule="exact"/>
        <w:ind w:left="800"/>
        <w:jc w:val="left"/>
        <w:textAlignment w:val="auto"/>
        <w:outlineLvl w:val="9"/>
        <w:rPr>
          <w:rFonts w:ascii="黑体" w:hAnsi="黑体" w:eastAsia="黑体"/>
          <w:sz w:val="32"/>
          <w:szCs w:val="32"/>
        </w:rPr>
      </w:pPr>
    </w:p>
    <w:p>
      <w:pPr>
        <w:keepNext w:val="0"/>
        <w:keepLines w:val="0"/>
        <w:pageBreakBefore w:val="0"/>
        <w:kinsoku/>
        <w:wordWrap/>
        <w:overflowPunct/>
        <w:topLinePunct w:val="0"/>
        <w:bidi w:val="0"/>
        <w:snapToGrid/>
        <w:spacing w:beforeAutospacing="0" w:afterAutospacing="0" w:line="560" w:lineRule="exact"/>
        <w:ind w:left="800"/>
        <w:jc w:val="center"/>
        <w:textAlignment w:val="auto"/>
        <w:outlineLvl w:val="9"/>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keepNext w:val="0"/>
        <w:keepLines w:val="0"/>
        <w:pageBreakBefore w:val="0"/>
        <w:kinsoku/>
        <w:wordWrap/>
        <w:overflowPunct/>
        <w:topLinePunct w:val="0"/>
        <w:bidi w:val="0"/>
        <w:snapToGrid/>
        <w:spacing w:beforeAutospacing="0" w:afterAutospacing="0" w:line="560" w:lineRule="exact"/>
        <w:textAlignment w:val="auto"/>
        <w:outlineLvl w:val="9"/>
        <w:rPr>
          <w:rFonts w:ascii="黑体" w:hAnsi="黑体" w:eastAsia="黑体"/>
          <w:sz w:val="32"/>
          <w:szCs w:val="32"/>
        </w:rPr>
      </w:pPr>
    </w:p>
    <w:p>
      <w:pPr>
        <w:keepNext w:val="0"/>
        <w:keepLines w:val="0"/>
        <w:pageBreakBefore w:val="0"/>
        <w:kinsoku/>
        <w:wordWrap/>
        <w:overflowPunct/>
        <w:topLinePunct w:val="0"/>
        <w:bidi w:val="0"/>
        <w:snapToGrid/>
        <w:spacing w:beforeAutospacing="0" w:afterAutospacing="0" w:line="560" w:lineRule="exact"/>
        <w:jc w:val="center"/>
        <w:textAlignment w:val="auto"/>
        <w:outlineLvl w:val="9"/>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三亚市人力资源和社会保障局</w:t>
      </w:r>
      <w:r>
        <w:rPr>
          <w:rFonts w:hint="eastAsia" w:ascii="黑体" w:hAnsi="黑体" w:eastAsia="黑体" w:cs="黑体"/>
          <w:sz w:val="32"/>
          <w:szCs w:val="32"/>
          <w:lang w:val="en-US" w:eastAsia="zh-CN"/>
        </w:rPr>
        <w:t>2024</w:t>
      </w:r>
      <w:r>
        <w:rPr>
          <w:rFonts w:hint="eastAsia" w:ascii="黑体" w:hAnsi="黑体" w:eastAsia="黑体"/>
          <w:sz w:val="32"/>
          <w:szCs w:val="32"/>
        </w:rPr>
        <w:t>年部门预算情况说明</w:t>
      </w:r>
    </w:p>
    <w:p>
      <w:pPr>
        <w:keepNext w:val="0"/>
        <w:keepLines w:val="0"/>
        <w:pageBreakBefore w:val="0"/>
        <w:kinsoku/>
        <w:wordWrap/>
        <w:overflowPunct/>
        <w:topLinePunct w:val="0"/>
        <w:bidi w:val="0"/>
        <w:snapToGrid/>
        <w:spacing w:beforeAutospacing="0" w:afterAutospacing="0" w:line="560" w:lineRule="exact"/>
        <w:jc w:val="center"/>
        <w:textAlignment w:val="auto"/>
        <w:outlineLvl w:val="9"/>
        <w:rPr>
          <w:rFonts w:ascii="黑体" w:hAnsi="黑体" w:eastAsia="黑体"/>
          <w:sz w:val="32"/>
          <w:szCs w:val="32"/>
        </w:rPr>
      </w:pPr>
    </w:p>
    <w:p>
      <w:pPr>
        <w:keepNext w:val="0"/>
        <w:keepLines w:val="0"/>
        <w:pageBreakBefore w:val="0"/>
        <w:kinsoku/>
        <w:wordWrap/>
        <w:overflowPunct/>
        <w:topLinePunct w:val="0"/>
        <w:bidi w:val="0"/>
        <w:snapToGrid/>
        <w:spacing w:beforeAutospacing="0" w:afterAutospacing="0" w:line="560" w:lineRule="exact"/>
        <w:ind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三亚市人力资源和社会保障局</w:t>
      </w:r>
      <w:r>
        <w:rPr>
          <w:rFonts w:hint="eastAsia" w:ascii="黑体" w:hAnsi="黑体" w:eastAsia="黑体" w:cs="黑体"/>
          <w:sz w:val="32"/>
          <w:szCs w:val="32"/>
          <w:lang w:val="en-US" w:eastAsia="zh-CN"/>
        </w:rPr>
        <w:t>2024</w:t>
      </w:r>
      <w:r>
        <w:rPr>
          <w:rFonts w:hint="eastAsia" w:ascii="黑体" w:hAnsi="黑体" w:eastAsia="黑体"/>
          <w:sz w:val="32"/>
          <w:szCs w:val="32"/>
        </w:rPr>
        <w:t>年财政拨款收支预算情况的总体说明</w:t>
      </w:r>
    </w:p>
    <w:p>
      <w:pPr>
        <w:keepNext w:val="0"/>
        <w:keepLines w:val="0"/>
        <w:pageBreakBefore w:val="0"/>
        <w:kinsoku/>
        <w:wordWrap/>
        <w:overflowPunct/>
        <w:topLinePunct w:val="0"/>
        <w:bidi w:val="0"/>
        <w:snapToGrid/>
        <w:spacing w:beforeAutospacing="0" w:afterAutospacing="0" w:line="560" w:lineRule="exact"/>
        <w:ind w:firstLine="640" w:firstLineChars="200"/>
        <w:jc w:val="left"/>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三亚市人力资源和社会保障局</w:t>
      </w:r>
      <w:r>
        <w:rPr>
          <w:rFonts w:hint="eastAsia" w:ascii="仿宋_GB2312" w:hAnsi="黑体" w:eastAsia="仿宋_GB2312"/>
          <w:sz w:val="32"/>
          <w:szCs w:val="32"/>
          <w:lang w:val="en-US" w:eastAsia="zh-CN"/>
        </w:rPr>
        <w:t>2024年</w:t>
      </w:r>
      <w:r>
        <w:rPr>
          <w:rFonts w:hint="eastAsia" w:ascii="仿宋_GB2312" w:hAnsi="黑体" w:eastAsia="仿宋_GB2312"/>
          <w:sz w:val="32"/>
          <w:szCs w:val="32"/>
        </w:rPr>
        <w:t>财政拨款收支总预算</w:t>
      </w:r>
      <w:r>
        <w:rPr>
          <w:rFonts w:hint="eastAsia" w:ascii="仿宋_GB2312" w:hAnsi="黑体" w:eastAsia="仿宋_GB2312" w:cs="仿宋_GB2312"/>
          <w:sz w:val="32"/>
          <w:szCs w:val="32"/>
          <w:lang w:val="en-US" w:eastAsia="zh-CN"/>
        </w:rPr>
        <w:t>19374.19</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19374.19</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18893.90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19374.19</w:t>
      </w:r>
      <w:r>
        <w:rPr>
          <w:rFonts w:hint="eastAsia" w:ascii="仿宋_GB2312" w:hAnsi="黑体" w:eastAsia="仿宋_GB2312"/>
          <w:sz w:val="32"/>
          <w:szCs w:val="32"/>
        </w:rPr>
        <w:t>万元，包括</w:t>
      </w:r>
      <w:r>
        <w:rPr>
          <w:rFonts w:hint="eastAsia" w:ascii="仿宋_GB2312" w:hAnsi="黑体" w:eastAsia="仿宋_GB2312"/>
          <w:sz w:val="32"/>
          <w:szCs w:val="32"/>
          <w:lang w:eastAsia="zh-CN"/>
        </w:rPr>
        <w:t>社会保障和就业支出</w:t>
      </w:r>
      <w:r>
        <w:rPr>
          <w:rFonts w:hint="eastAsia" w:ascii="仿宋_GB2312" w:hAnsi="黑体" w:eastAsia="仿宋_GB2312" w:cs="仿宋_GB2312"/>
          <w:sz w:val="32"/>
          <w:szCs w:val="32"/>
          <w:lang w:val="en-US" w:eastAsia="zh-CN"/>
        </w:rPr>
        <w:t>16273.77万</w:t>
      </w:r>
      <w:r>
        <w:rPr>
          <w:rFonts w:hint="eastAsia" w:ascii="仿宋_GB2312" w:hAnsi="黑体" w:eastAsia="仿宋_GB2312"/>
          <w:sz w:val="32"/>
          <w:szCs w:val="32"/>
        </w:rPr>
        <w:t>元、卫生健康支出384.41万元、</w:t>
      </w:r>
      <w:r>
        <w:rPr>
          <w:rFonts w:hint="eastAsia" w:ascii="仿宋_GB2312" w:hAnsi="黑体" w:eastAsia="仿宋_GB2312"/>
          <w:sz w:val="32"/>
          <w:szCs w:val="32"/>
          <w:lang w:eastAsia="zh-CN"/>
        </w:rPr>
        <w:t>农林水</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2432.72</w:t>
      </w:r>
      <w:r>
        <w:rPr>
          <w:rFonts w:hint="eastAsia" w:ascii="仿宋_GB2312" w:hAnsi="黑体" w:eastAsia="仿宋_GB2312"/>
          <w:sz w:val="32"/>
          <w:szCs w:val="32"/>
        </w:rPr>
        <w:t>万元、金融支出</w:t>
      </w:r>
      <w:r>
        <w:rPr>
          <w:rFonts w:hint="eastAsia" w:ascii="仿宋_GB2312" w:hAnsi="黑体" w:eastAsia="仿宋_GB2312"/>
          <w:sz w:val="32"/>
          <w:szCs w:val="32"/>
          <w:lang w:val="en-US" w:eastAsia="zh-CN"/>
        </w:rPr>
        <w:t>108万元、</w:t>
      </w:r>
      <w:r>
        <w:rPr>
          <w:rFonts w:hint="eastAsia" w:ascii="仿宋_GB2312" w:hAnsi="黑体" w:eastAsia="仿宋_GB2312"/>
          <w:sz w:val="32"/>
          <w:szCs w:val="32"/>
          <w:lang w:eastAsia="zh-CN"/>
        </w:rPr>
        <w:t>住房保障支出</w:t>
      </w:r>
      <w:r>
        <w:rPr>
          <w:rFonts w:hint="eastAsia" w:ascii="仿宋_GB2312" w:hAnsi="黑体" w:eastAsia="仿宋_GB2312"/>
          <w:sz w:val="32"/>
          <w:szCs w:val="32"/>
          <w:lang w:val="en-US" w:eastAsia="zh-CN"/>
        </w:rPr>
        <w:t>175.28万元</w:t>
      </w:r>
      <w:r>
        <w:rPr>
          <w:rFonts w:hint="eastAsia" w:ascii="仿宋_GB2312" w:hAnsi="黑体" w:eastAsia="仿宋_GB2312"/>
          <w:sz w:val="32"/>
          <w:szCs w:val="32"/>
        </w:rPr>
        <w:t>。</w:t>
      </w:r>
    </w:p>
    <w:p>
      <w:pPr>
        <w:keepNext w:val="0"/>
        <w:keepLines w:val="0"/>
        <w:pageBreakBefore w:val="0"/>
        <w:kinsoku/>
        <w:wordWrap/>
        <w:overflowPunct/>
        <w:topLinePunct w:val="0"/>
        <w:bidi w:val="0"/>
        <w:snapToGrid/>
        <w:spacing w:beforeAutospacing="0" w:afterAutospacing="0" w:line="560" w:lineRule="exact"/>
        <w:ind w:firstLine="640"/>
        <w:jc w:val="left"/>
        <w:textAlignment w:val="auto"/>
        <w:outlineLvl w:val="9"/>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三亚市人力资源和社会保障局</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年一般公共预算当年拨款情况说明</w:t>
      </w:r>
    </w:p>
    <w:p>
      <w:pPr>
        <w:keepNext w:val="0"/>
        <w:keepLines w:val="0"/>
        <w:pageBreakBefore w:val="0"/>
        <w:kinsoku/>
        <w:wordWrap/>
        <w:overflowPunct/>
        <w:topLinePunct w:val="0"/>
        <w:bidi w:val="0"/>
        <w:snapToGrid/>
        <w:spacing w:beforeAutospacing="0" w:afterAutospacing="0" w:line="560" w:lineRule="exact"/>
        <w:ind w:firstLine="640"/>
        <w:jc w:val="left"/>
        <w:textAlignment w:val="auto"/>
        <w:outlineLvl w:val="9"/>
        <w:rPr>
          <w:rFonts w:ascii="楷体" w:hAnsi="楷体" w:eastAsia="楷体"/>
          <w:sz w:val="32"/>
          <w:szCs w:val="32"/>
        </w:rPr>
      </w:pPr>
      <w:r>
        <w:rPr>
          <w:rFonts w:hint="eastAsia" w:ascii="楷体" w:hAnsi="楷体" w:eastAsia="楷体"/>
          <w:sz w:val="32"/>
          <w:szCs w:val="32"/>
        </w:rPr>
        <w:t>（一）一般公共预算当年规模变化情况</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三亚市人力资源和社会保障局</w:t>
      </w:r>
      <w:r>
        <w:rPr>
          <w:rFonts w:hint="eastAsia" w:ascii="仿宋_GB2312" w:hAnsi="黑体" w:eastAsia="仿宋_GB2312"/>
          <w:sz w:val="32"/>
          <w:szCs w:val="32"/>
          <w:lang w:val="en-US" w:eastAsia="zh-CN"/>
        </w:rPr>
        <w:t>2024年</w:t>
      </w:r>
      <w:r>
        <w:rPr>
          <w:rFonts w:hint="eastAsia" w:ascii="仿宋_GB2312" w:hAnsi="黑体" w:eastAsia="仿宋_GB2312"/>
          <w:sz w:val="32"/>
          <w:szCs w:val="32"/>
        </w:rPr>
        <w:t>一般公共预算当年拨款</w:t>
      </w:r>
      <w:r>
        <w:rPr>
          <w:rFonts w:hint="eastAsia" w:ascii="仿宋_GB2312" w:hAnsi="黑体" w:eastAsia="仿宋_GB2312" w:cs="仿宋_GB2312"/>
          <w:sz w:val="32"/>
          <w:szCs w:val="32"/>
          <w:lang w:val="en-US" w:eastAsia="zh-CN"/>
        </w:rPr>
        <w:t>19374.19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13147.97万元</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6226.22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财政预算拨款增加，</w:t>
      </w:r>
      <w:r>
        <w:rPr>
          <w:rFonts w:hint="eastAsia" w:ascii="仿宋_GB2312" w:hAnsi="黑体" w:eastAsia="仿宋_GB2312" w:cs="仿宋_GB2312"/>
          <w:sz w:val="32"/>
          <w:szCs w:val="32"/>
          <w:lang w:val="en-US" w:eastAsia="zh-CN"/>
        </w:rPr>
        <w:t>社会保障和就业</w:t>
      </w:r>
      <w:r>
        <w:rPr>
          <w:rFonts w:hint="eastAsia" w:ascii="仿宋_GB2312" w:hAnsi="黑体" w:eastAsia="仿宋_GB2312" w:cs="仿宋_GB2312"/>
          <w:sz w:val="32"/>
          <w:szCs w:val="32"/>
        </w:rPr>
        <w:t>（类）人力资源和社会保障管理事务</w:t>
      </w:r>
      <w:r>
        <w:rPr>
          <w:rFonts w:hint="eastAsia" w:ascii="仿宋_GB2312" w:hAnsi="黑体" w:eastAsia="仿宋_GB2312" w:cs="仿宋_GB2312"/>
          <w:sz w:val="32"/>
          <w:szCs w:val="32"/>
          <w:lang w:eastAsia="zh-CN"/>
        </w:rPr>
        <w:t>经费的增加等</w:t>
      </w:r>
      <w:r>
        <w:rPr>
          <w:rFonts w:hint="eastAsia" w:ascii="仿宋_GB2312" w:hAnsi="黑体" w:eastAsia="仿宋_GB2312"/>
          <w:sz w:val="32"/>
          <w:szCs w:val="32"/>
          <w:lang w:eastAsia="zh-CN"/>
        </w:rPr>
        <w:t>。</w:t>
      </w:r>
    </w:p>
    <w:p>
      <w:pPr>
        <w:keepNext w:val="0"/>
        <w:keepLines w:val="0"/>
        <w:pageBreakBefore w:val="0"/>
        <w:kinsoku/>
        <w:wordWrap/>
        <w:overflowPunct/>
        <w:topLinePunct w:val="0"/>
        <w:bidi w:val="0"/>
        <w:snapToGrid/>
        <w:spacing w:beforeAutospacing="0" w:afterAutospacing="0" w:line="560" w:lineRule="exact"/>
        <w:ind w:firstLine="640"/>
        <w:jc w:val="left"/>
        <w:textAlignment w:val="auto"/>
        <w:outlineLvl w:val="9"/>
        <w:rPr>
          <w:rFonts w:ascii="楷体" w:hAnsi="楷体" w:eastAsia="楷体"/>
          <w:color w:val="000000" w:themeColor="text1"/>
          <w:sz w:val="32"/>
          <w:szCs w:val="32"/>
          <w14:textFill>
            <w14:solidFill>
              <w14:schemeClr w14:val="tx1"/>
            </w14:solidFill>
          </w14:textFill>
        </w:rPr>
      </w:pPr>
      <w:r>
        <w:rPr>
          <w:rFonts w:hint="eastAsia" w:ascii="楷体" w:hAnsi="楷体" w:eastAsia="楷体"/>
          <w:sz w:val="32"/>
          <w:szCs w:val="32"/>
        </w:rPr>
        <w:t>（二）一般公共预算当年拨款</w:t>
      </w:r>
      <w:r>
        <w:rPr>
          <w:rFonts w:hint="eastAsia" w:ascii="楷体" w:hAnsi="楷体" w:eastAsia="楷体"/>
          <w:color w:val="000000" w:themeColor="text1"/>
          <w:sz w:val="32"/>
          <w:szCs w:val="32"/>
          <w14:textFill>
            <w14:solidFill>
              <w14:schemeClr w14:val="tx1"/>
            </w14:solidFill>
          </w14:textFill>
        </w:rPr>
        <w:t>结构情况</w:t>
      </w:r>
    </w:p>
    <w:p>
      <w:pPr>
        <w:keepNext w:val="0"/>
        <w:keepLines w:val="0"/>
        <w:pageBreakBefore w:val="0"/>
        <w:kinsoku/>
        <w:wordWrap/>
        <w:overflowPunct/>
        <w:topLinePunct w:val="0"/>
        <w:bidi w:val="0"/>
        <w:snapToGrid/>
        <w:spacing w:beforeAutospacing="0" w:afterAutospacing="0" w:line="560" w:lineRule="exact"/>
        <w:ind w:firstLine="800" w:firstLineChars="250"/>
        <w:textAlignment w:val="auto"/>
        <w:outlineLvl w:val="9"/>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eastAsia="zh-CN"/>
          <w14:textFill>
            <w14:solidFill>
              <w14:schemeClr w14:val="tx1"/>
            </w14:solidFill>
          </w14:textFill>
        </w:rPr>
        <w:t>社会保障和就业</w:t>
      </w:r>
      <w:r>
        <w:rPr>
          <w:rFonts w:hint="eastAsia" w:ascii="仿宋_GB2312" w:hAnsi="黑体" w:eastAsia="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14:textFill>
            <w14:solidFill>
              <w14:schemeClr w14:val="tx1"/>
            </w14:solidFill>
          </w14:textFill>
        </w:rPr>
        <w:t>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16273.77</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89.33</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eastAsia="zh-CN"/>
          <w14:textFill>
            <w14:solidFill>
              <w14:schemeClr w14:val="tx1"/>
            </w14:solidFill>
          </w14:textFill>
        </w:rPr>
        <w:t>卫生健康支出</w:t>
      </w:r>
      <w:r>
        <w:rPr>
          <w:rFonts w:hint="eastAsia" w:ascii="仿宋_GB2312" w:hAnsi="黑体" w:eastAsia="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14:textFill>
            <w14:solidFill>
              <w14:schemeClr w14:val="tx1"/>
            </w14:solidFill>
          </w14:textFill>
        </w:rPr>
        <w:t>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384.41</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1.98</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eastAsia="zh-CN"/>
          <w14:textFill>
            <w14:solidFill>
              <w14:schemeClr w14:val="tx1"/>
            </w14:solidFill>
          </w14:textFill>
        </w:rPr>
        <w:t>农林水支出</w:t>
      </w:r>
      <w:r>
        <w:rPr>
          <w:rFonts w:hint="eastAsia" w:ascii="仿宋_GB2312" w:hAnsi="黑体" w:eastAsia="仿宋_GB2312"/>
          <w:color w:val="000000" w:themeColor="text1"/>
          <w:sz w:val="32"/>
          <w:szCs w:val="32"/>
          <w:lang w:val="en-US" w:eastAsia="zh-CN"/>
          <w14:textFill>
            <w14:solidFill>
              <w14:schemeClr w14:val="tx1"/>
            </w14:solidFill>
          </w14:textFill>
        </w:rPr>
        <w:t>2432.72万元，</w:t>
      </w:r>
      <w:r>
        <w:rPr>
          <w:rFonts w:hint="eastAsia" w:ascii="仿宋_GB2312" w:hAnsi="黑体" w:eastAsia="仿宋_GB2312"/>
          <w:color w:val="000000" w:themeColor="text1"/>
          <w:sz w:val="32"/>
          <w:szCs w:val="32"/>
          <w14:textFill>
            <w14:solidFill>
              <w14:schemeClr w14:val="tx1"/>
            </w14:solidFill>
          </w14:textFill>
        </w:rPr>
        <w:t>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12.56</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eastAsia="zh-CN"/>
          <w14:textFill>
            <w14:solidFill>
              <w14:schemeClr w14:val="tx1"/>
            </w14:solidFill>
          </w14:textFill>
        </w:rPr>
        <w:t>住房保障</w:t>
      </w:r>
      <w:r>
        <w:rPr>
          <w:rFonts w:hint="eastAsia" w:ascii="仿宋_GB2312" w:hAnsi="黑体" w:eastAsia="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14:textFill>
            <w14:solidFill>
              <w14:schemeClr w14:val="tx1"/>
            </w14:solidFill>
          </w14:textFill>
        </w:rPr>
        <w:t>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175.28</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0.90</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eastAsia="zh-CN"/>
          <w14:textFill>
            <w14:solidFill>
              <w14:schemeClr w14:val="tx1"/>
            </w14:solidFill>
          </w14:textFill>
        </w:rPr>
        <w:t>，金融支出</w:t>
      </w:r>
      <w:r>
        <w:rPr>
          <w:rFonts w:hint="eastAsia" w:ascii="仿宋_GB2312" w:hAnsi="黑体" w:eastAsia="仿宋_GB2312"/>
          <w:color w:val="000000" w:themeColor="text1"/>
          <w:sz w:val="32"/>
          <w:szCs w:val="32"/>
          <w:lang w:val="en-US" w:eastAsia="zh-CN"/>
          <w14:textFill>
            <w14:solidFill>
              <w14:schemeClr w14:val="tx1"/>
            </w14:solidFill>
          </w14:textFill>
        </w:rPr>
        <w:t>108万元，占0.56%</w:t>
      </w:r>
      <w:r>
        <w:rPr>
          <w:rFonts w:hint="eastAsia" w:ascii="仿宋_GB2312" w:hAnsi="黑体"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bidi w:val="0"/>
        <w:snapToGrid/>
        <w:spacing w:beforeAutospacing="0" w:afterAutospacing="0" w:line="560" w:lineRule="exact"/>
        <w:ind w:firstLine="640"/>
        <w:jc w:val="left"/>
        <w:textAlignment w:val="auto"/>
        <w:outlineLvl w:val="9"/>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一般公共服务（</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政府办公厅（室）及相关机构事务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事业</w:t>
      </w:r>
      <w:r>
        <w:rPr>
          <w:rFonts w:hint="eastAsia" w:ascii="仿宋_GB2312" w:hAnsi="黑体" w:eastAsia="仿宋_GB2312" w:cs="仿宋_GB2312"/>
          <w:sz w:val="32"/>
          <w:szCs w:val="32"/>
        </w:rPr>
        <w:t>运行（项）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99.98</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54.43</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新增项目。</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社会保障和就业</w:t>
      </w:r>
      <w:r>
        <w:rPr>
          <w:rFonts w:hint="eastAsia" w:ascii="仿宋_GB2312" w:hAnsi="黑体" w:eastAsia="仿宋_GB2312" w:cs="仿宋_GB2312"/>
          <w:sz w:val="32"/>
          <w:szCs w:val="32"/>
        </w:rPr>
        <w:t>（类）人力资源和社会保障管理事务（款）行政运行（项）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1131.97</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与</w:t>
      </w:r>
      <w:r>
        <w:rPr>
          <w:rFonts w:hint="eastAsia" w:ascii="仿宋_GB2312" w:hAnsi="黑体" w:eastAsia="仿宋_GB2312" w:cs="仿宋_GB2312"/>
          <w:sz w:val="32"/>
          <w:szCs w:val="32"/>
        </w:rPr>
        <w:t>上年预算数</w:t>
      </w:r>
      <w:r>
        <w:rPr>
          <w:rFonts w:hint="eastAsia" w:ascii="仿宋_GB2312" w:hAnsi="黑体" w:eastAsia="仿宋_GB2312" w:cs="仿宋_GB2312"/>
          <w:sz w:val="32"/>
          <w:szCs w:val="32"/>
          <w:lang w:val="en-US" w:eastAsia="zh-CN"/>
        </w:rPr>
        <w:t>万元略有下降</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主要是经费压缩</w:t>
      </w:r>
      <w:r>
        <w:rPr>
          <w:rFonts w:hint="eastAsia" w:ascii="仿宋_GB2312" w:hAnsi="黑体" w:eastAsia="仿宋_GB2312" w:cs="仿宋_GB2312"/>
          <w:sz w:val="32"/>
          <w:szCs w:val="32"/>
          <w:lang w:val="en-US" w:eastAsia="zh-CN"/>
        </w:rPr>
        <w:t>。</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社会保障和就业</w:t>
      </w:r>
      <w:r>
        <w:rPr>
          <w:rFonts w:hint="eastAsia" w:ascii="仿宋_GB2312" w:hAnsi="黑体" w:eastAsia="仿宋_GB2312" w:cs="仿宋_GB2312"/>
          <w:sz w:val="32"/>
          <w:szCs w:val="32"/>
        </w:rPr>
        <w:t>（类）人力资源和社会保障管理事务（款）一般行政管理事务（项）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1018.51</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233.93</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新增人员及新增经费项目。</w:t>
      </w:r>
    </w:p>
    <w:p>
      <w:pPr>
        <w:ind w:firstLine="640" w:firstLineChars="200"/>
        <w:rPr>
          <w:rFonts w:hint="default" w:ascii="仿宋_GB2312" w:hAnsi="黑体" w:eastAsia="仿宋_GB2312" w:cs="仿宋_GB2312"/>
          <w:color w:val="FFFFFF" w:themeColor="background1"/>
          <w:sz w:val="32"/>
          <w:szCs w:val="32"/>
          <w:lang w:val="en-US" w:eastAsia="zh-CN"/>
          <w14:textFill>
            <w14:solidFill>
              <w14:schemeClr w14:val="bg1"/>
            </w14:solidFill>
          </w14:textFill>
        </w:rPr>
      </w:pPr>
      <w:r>
        <w:rPr>
          <w:rFonts w:hint="eastAsia" w:ascii="仿宋_GB2312" w:hAnsi="黑体" w:eastAsia="仿宋_GB2312" w:cs="仿宋_GB2312"/>
          <w:sz w:val="32"/>
          <w:szCs w:val="32"/>
          <w:lang w:val="en-US" w:eastAsia="zh-CN"/>
        </w:rPr>
        <w:t>4.社会保障和就业</w:t>
      </w:r>
      <w:r>
        <w:rPr>
          <w:rFonts w:hint="eastAsia" w:ascii="仿宋_GB2312" w:hAnsi="黑体" w:eastAsia="仿宋_GB2312" w:cs="仿宋_GB2312"/>
          <w:sz w:val="32"/>
          <w:szCs w:val="32"/>
        </w:rPr>
        <w:t>（类）人力资源和社会保障管理事务（款）综合业务管理（项）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100.88</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100.88</w:t>
      </w:r>
      <w:r>
        <w:rPr>
          <w:rFonts w:hint="eastAsia" w:ascii="仿宋_GB2312" w:hAnsi="黑体" w:eastAsia="仿宋_GB2312" w:cs="仿宋_GB2312"/>
          <w:sz w:val="32"/>
          <w:szCs w:val="32"/>
        </w:rPr>
        <w:t>万元，主要是预算</w:t>
      </w:r>
      <w:r>
        <w:rPr>
          <w:rFonts w:hint="eastAsia" w:ascii="仿宋_GB2312" w:hAnsi="黑体" w:eastAsia="仿宋_GB2312" w:cs="仿宋_GB2312"/>
          <w:sz w:val="32"/>
          <w:szCs w:val="32"/>
          <w:lang w:eastAsia="zh-CN"/>
        </w:rPr>
        <w:t>项目从行政运行调整为综合</w:t>
      </w:r>
      <w:r>
        <w:rPr>
          <w:rFonts w:hint="eastAsia" w:ascii="仿宋_GB2312" w:hAnsi="黑体" w:eastAsia="仿宋_GB2312" w:cs="仿宋_GB2312"/>
          <w:color w:val="000000" w:themeColor="text1"/>
          <w:sz w:val="32"/>
          <w:szCs w:val="32"/>
          <w:lang w:eastAsia="zh-CN"/>
          <w14:textFill>
            <w14:solidFill>
              <w14:schemeClr w14:val="tx1"/>
            </w14:solidFill>
          </w14:textFill>
        </w:rPr>
        <w:t>业务管理。</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社会保障和就业</w:t>
      </w:r>
      <w:r>
        <w:rPr>
          <w:rFonts w:hint="eastAsia" w:ascii="仿宋_GB2312" w:hAnsi="黑体" w:eastAsia="仿宋_GB2312" w:cs="仿宋_GB2312"/>
          <w:sz w:val="32"/>
          <w:szCs w:val="32"/>
        </w:rPr>
        <w:t>（类）人力资源和社会保障管理事务（款）</w:t>
      </w:r>
      <w:r>
        <w:rPr>
          <w:rFonts w:hint="eastAsia" w:ascii="仿宋_GB2312" w:hAnsi="黑体" w:eastAsia="仿宋_GB2312" w:cs="仿宋_GB2312"/>
          <w:sz w:val="32"/>
          <w:szCs w:val="32"/>
          <w:lang w:val="en-US" w:eastAsia="zh-CN"/>
        </w:rPr>
        <w:t>就业</w:t>
      </w:r>
      <w:r>
        <w:rPr>
          <w:rFonts w:hint="eastAsia" w:ascii="仿宋_GB2312" w:hAnsi="黑体" w:eastAsia="仿宋_GB2312" w:cs="仿宋_GB2312"/>
          <w:sz w:val="32"/>
          <w:szCs w:val="32"/>
        </w:rPr>
        <w:t>管理事务（项）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5727.99</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2113.16</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就业人员补贴及失业稳岗返还增加。</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社会保障和就业</w:t>
      </w:r>
      <w:r>
        <w:rPr>
          <w:rFonts w:hint="eastAsia" w:ascii="仿宋_GB2312" w:hAnsi="黑体" w:eastAsia="仿宋_GB2312" w:cs="仿宋_GB2312"/>
          <w:sz w:val="32"/>
          <w:szCs w:val="32"/>
        </w:rPr>
        <w:t>（类）人力资源和社会保障管理事务（款）</w:t>
      </w:r>
      <w:r>
        <w:rPr>
          <w:rFonts w:hint="eastAsia" w:ascii="仿宋_GB2312" w:hAnsi="黑体" w:eastAsia="仿宋_GB2312" w:cs="仿宋_GB2312"/>
          <w:sz w:val="32"/>
          <w:szCs w:val="32"/>
          <w:lang w:val="en-US" w:eastAsia="zh-CN"/>
        </w:rPr>
        <w:t>信息化建设</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793.09</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增加701.5</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项目费用。</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社会保障和就业</w:t>
      </w:r>
      <w:r>
        <w:rPr>
          <w:rFonts w:hint="eastAsia" w:ascii="仿宋_GB2312" w:hAnsi="黑体" w:eastAsia="仿宋_GB2312" w:cs="仿宋_GB2312"/>
          <w:sz w:val="32"/>
          <w:szCs w:val="32"/>
        </w:rPr>
        <w:t>（类）人力资源和社会保障管理事务（款）公共就业服务和职业技能鉴定机构（项）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108.11</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33.08</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考试类支出减少。</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社会保障和就业</w:t>
      </w:r>
      <w:r>
        <w:rPr>
          <w:rFonts w:hint="eastAsia" w:ascii="仿宋_GB2312" w:hAnsi="黑体" w:eastAsia="仿宋_GB2312" w:cs="仿宋_GB2312"/>
          <w:sz w:val="32"/>
          <w:szCs w:val="32"/>
        </w:rPr>
        <w:t>（类）人力资源和社会保障管理事务（款）劳动人事争议调解仲裁（项）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729.55</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84.01</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仲裁院业务量增大，工作成本有所增加。</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社会保障和就业</w:t>
      </w:r>
      <w:r>
        <w:rPr>
          <w:rFonts w:hint="eastAsia" w:ascii="仿宋_GB2312" w:hAnsi="黑体" w:eastAsia="仿宋_GB2312" w:cs="仿宋_GB2312"/>
          <w:sz w:val="32"/>
          <w:szCs w:val="32"/>
        </w:rPr>
        <w:t>（类）人力资源和社会保障管理事务（款）引进人才费用（项）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100</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100</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今年新增人才引进项目经费。</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10</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社会保障和就业</w:t>
      </w:r>
      <w:r>
        <w:rPr>
          <w:rFonts w:hint="eastAsia" w:ascii="仿宋_GB2312" w:hAnsi="黑体" w:eastAsia="仿宋_GB2312" w:cs="仿宋_GB2312"/>
          <w:sz w:val="32"/>
          <w:szCs w:val="32"/>
        </w:rPr>
        <w:t>（类）行政事业单位养老支出（款）机关事业单位职业年金缴费支出（项）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196.52</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20.11</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人员工资基数调整。</w:t>
      </w:r>
    </w:p>
    <w:p>
      <w:pPr>
        <w:ind w:firstLine="640" w:firstLineChars="200"/>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11.社会保障和就业</w:t>
      </w:r>
      <w:r>
        <w:rPr>
          <w:rFonts w:hint="eastAsia" w:ascii="仿宋_GB2312" w:hAnsi="黑体" w:eastAsia="仿宋_GB2312" w:cs="仿宋_GB2312"/>
          <w:sz w:val="32"/>
          <w:szCs w:val="32"/>
        </w:rPr>
        <w:t>（类）行政事业单位养老支出（款）机关事业单位职业年金缴费支出（项）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462.2</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146.46</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人员工资基数调整。</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12</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社会保障和就业</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就业补助</w:t>
      </w:r>
      <w:r>
        <w:rPr>
          <w:rFonts w:hint="eastAsia" w:ascii="仿宋_GB2312" w:hAnsi="黑体" w:eastAsia="仿宋_GB2312" w:cs="仿宋_GB2312"/>
          <w:sz w:val="32"/>
          <w:szCs w:val="32"/>
        </w:rPr>
        <w:t>（款）就业创业服务补贴（项）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60.66</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60.66</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208就业补助金项目调整新增细化项目。</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13</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社会保障和就业</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就业补助</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社会保险补贴</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5439.46</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增加4985.59</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上年度</w:t>
      </w:r>
      <w:r>
        <w:rPr>
          <w:rFonts w:hint="eastAsia" w:ascii="仿宋_GB2312" w:hAnsi="黑体" w:eastAsia="仿宋_GB2312" w:cs="仿宋_GB2312"/>
          <w:sz w:val="32"/>
          <w:szCs w:val="32"/>
          <w:lang w:val="en-US" w:eastAsia="zh-CN"/>
        </w:rPr>
        <w:t>新增</w:t>
      </w:r>
      <w:r>
        <w:rPr>
          <w:rFonts w:hint="eastAsia" w:ascii="仿宋_GB2312" w:hAnsi="黑体" w:eastAsia="仿宋_GB2312" w:cs="仿宋_GB2312"/>
          <w:sz w:val="32"/>
          <w:szCs w:val="32"/>
          <w:lang w:eastAsia="zh-CN"/>
        </w:rPr>
        <w:t>就业资金增加，新增</w:t>
      </w:r>
      <w:r>
        <w:rPr>
          <w:rFonts w:hint="eastAsia" w:ascii="仿宋_GB2312" w:hAnsi="黑体" w:eastAsia="仿宋_GB2312" w:cs="仿宋_GB2312"/>
          <w:sz w:val="32"/>
          <w:szCs w:val="32"/>
          <w:lang w:val="en-US" w:eastAsia="zh-CN"/>
        </w:rPr>
        <w:t>人员增多。</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14</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社会保障和就业</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就业补助</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职业技能鉴定补贴</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25.39</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增加25.39</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208就业补助金项目调整新增细化项目。</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15.社会保障和就业</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就业补助</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就业见习补贴</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344.73</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减少109.55</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208就业补助金项目调整新增细化项目。</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16.社会保障和就业</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就业补助</w:t>
      </w:r>
      <w:r>
        <w:rPr>
          <w:rFonts w:hint="eastAsia" w:ascii="仿宋_GB2312" w:hAnsi="黑体" w:eastAsia="仿宋_GB2312" w:cs="仿宋_GB2312"/>
          <w:sz w:val="32"/>
          <w:szCs w:val="32"/>
        </w:rPr>
        <w:t>（款）其他就业补助支出（项）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34.72</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3788.36</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划转分类。</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17</w:t>
      </w:r>
      <w:r>
        <w:rPr>
          <w:rFonts w:hint="eastAsia" w:ascii="仿宋_GB2312" w:hAnsi="黑体" w:eastAsia="仿宋_GB2312" w:cs="仿宋_GB2312"/>
          <w:sz w:val="32"/>
          <w:szCs w:val="32"/>
        </w:rPr>
        <w:t>.卫生健康支出（类）行政事业单位医疗（款）行政单位医疗（项）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55.48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0.99</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医疗保险</w:t>
      </w:r>
      <w:r>
        <w:rPr>
          <w:rFonts w:hint="eastAsia" w:ascii="仿宋_GB2312" w:hAnsi="黑体" w:eastAsia="仿宋_GB2312" w:cs="仿宋_GB2312"/>
          <w:sz w:val="32"/>
          <w:szCs w:val="32"/>
          <w:lang w:eastAsia="zh-CN"/>
        </w:rPr>
        <w:t>增加</w:t>
      </w:r>
      <w:r>
        <w:rPr>
          <w:rFonts w:hint="eastAsia" w:ascii="仿宋_GB2312" w:hAnsi="黑体" w:eastAsia="仿宋_GB2312"/>
          <w:sz w:val="32"/>
          <w:szCs w:val="32"/>
          <w:lang w:val="en-US" w:eastAsia="zh-CN"/>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18</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卫生健康支出（类）行政事业单位医疗（款）事业单位医疗（项）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35.86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7.48</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医疗保险</w:t>
      </w:r>
      <w:r>
        <w:rPr>
          <w:rFonts w:hint="eastAsia" w:ascii="仿宋_GB2312" w:hAnsi="黑体" w:eastAsia="仿宋_GB2312" w:cs="仿宋_GB2312"/>
          <w:sz w:val="32"/>
          <w:szCs w:val="32"/>
          <w:lang w:eastAsia="zh-CN"/>
        </w:rPr>
        <w:t>增加</w:t>
      </w:r>
      <w:r>
        <w:rPr>
          <w:rFonts w:hint="eastAsia" w:ascii="仿宋_GB2312" w:hAnsi="黑体" w:eastAsia="仿宋_GB2312"/>
          <w:sz w:val="32"/>
          <w:szCs w:val="32"/>
          <w:lang w:val="en-US" w:eastAsia="zh-CN"/>
        </w:rPr>
        <w:t>。</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19</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卫生健康支出（类）行政事业单位医疗（款）公务员医疗补助（项）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293.07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58.5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人员工资变动。</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20</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农林水</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惠普金融发展（款）创业担保贷款贴息及奖补</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700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700</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今年新增项目。</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sz w:val="32"/>
          <w:szCs w:val="32"/>
          <w:lang w:val="en-US" w:eastAsia="zh-CN"/>
        </w:rPr>
        <w:t>21</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农林水</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惠普金融发展（款）补充创业担保贷款基金</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1732.72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1732.72万元，主要是</w:t>
      </w:r>
      <w:r>
        <w:rPr>
          <w:rFonts w:hint="eastAsia" w:ascii="仿宋_GB2312" w:hAnsi="黑体" w:eastAsia="仿宋_GB2312" w:cs="仿宋_GB2312"/>
          <w:sz w:val="32"/>
          <w:szCs w:val="32"/>
          <w:lang w:val="en-US" w:eastAsia="zh-CN"/>
        </w:rPr>
        <w:t>就业补助金项目调整新增细化项目。</w:t>
      </w:r>
    </w:p>
    <w:p>
      <w:pPr>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lang w:val="en-US" w:eastAsia="zh-CN"/>
        </w:rPr>
        <w:t>22.</w:t>
      </w:r>
      <w:r>
        <w:rPr>
          <w:rFonts w:hint="eastAsia" w:ascii="仿宋_GB2312" w:hAnsi="黑体" w:eastAsia="仿宋_GB2312" w:cs="仿宋_GB2312"/>
          <w:sz w:val="32"/>
          <w:szCs w:val="32"/>
          <w:lang w:val="en-US" w:eastAsia="zh-CN"/>
        </w:rPr>
        <w:t>金融支出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金融发展支出（款）利息费用补贴支出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108</w:t>
      </w:r>
      <w:r>
        <w:rPr>
          <w:rFonts w:hint="eastAsia" w:ascii="仿宋_GB2312" w:hAnsi="黑体" w:eastAsia="仿宋_GB2312"/>
          <w:sz w:val="32"/>
          <w:szCs w:val="32"/>
        </w:rPr>
        <w:t>万元，</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val="en-US" w:eastAsia="zh-CN"/>
        </w:rPr>
        <w:t>今年新增项目。</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23</w:t>
      </w:r>
      <w:bookmarkStart w:id="0" w:name="_GoBack"/>
      <w:bookmarkEnd w:id="0"/>
      <w:r>
        <w:rPr>
          <w:rFonts w:hint="eastAsia" w:ascii="仿宋_GB2312" w:hAnsi="黑体" w:eastAsia="仿宋_GB2312"/>
          <w:sz w:val="32"/>
          <w:szCs w:val="32"/>
        </w:rPr>
        <w:t>.</w:t>
      </w:r>
      <w:r>
        <w:rPr>
          <w:rFonts w:hint="eastAsia" w:ascii="仿宋_GB2312" w:hAnsi="黑体" w:eastAsia="仿宋_GB2312" w:cs="仿宋_GB2312"/>
          <w:sz w:val="32"/>
          <w:szCs w:val="32"/>
        </w:rPr>
        <w:t>住房保障支出（类）住房改革支出（款）住房公积</w:t>
      </w:r>
      <w:r>
        <w:rPr>
          <w:rFonts w:hint="eastAsia" w:ascii="仿宋_GB2312" w:hAnsi="黑体" w:eastAsia="仿宋_GB2312" w:cs="仿宋_GB2312"/>
          <w:color w:val="auto"/>
          <w:sz w:val="32"/>
          <w:szCs w:val="32"/>
        </w:rPr>
        <w:t>金（项）</w:t>
      </w: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175.28</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13.8</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val="en-US" w:eastAsia="zh-CN"/>
        </w:rPr>
        <w:t>人员工资基数增加。</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val="en-US" w:eastAsia="zh-CN"/>
        </w:rPr>
        <w:t>三亚市人力资源和社会保障局部门2024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lang w:val="en-US" w:eastAsia="zh-CN"/>
        </w:rPr>
        <w:t>三亚市人力资源和社会保障局部门2024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3141.63</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2989.31</w:t>
      </w:r>
      <w:r>
        <w:rPr>
          <w:rFonts w:hint="eastAsia" w:ascii="仿宋_GB2312" w:hAnsi="黑体" w:eastAsia="仿宋_GB2312"/>
          <w:sz w:val="32"/>
          <w:szCs w:val="32"/>
        </w:rPr>
        <w:t>万元，主要包括：基本工资、津贴补贴、奖金、社会保障缴费、</w:t>
      </w:r>
      <w:r>
        <w:rPr>
          <w:rFonts w:hint="eastAsia" w:ascii="仿宋_GB2312" w:hAnsi="黑体" w:eastAsia="仿宋_GB2312"/>
          <w:sz w:val="32"/>
          <w:szCs w:val="32"/>
          <w:lang w:val="en-US" w:eastAsia="zh-CN"/>
        </w:rPr>
        <w:t>住房公积金、公务员医疗补助、绩效工资、职业年金等</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152.31</w:t>
      </w:r>
      <w:r>
        <w:rPr>
          <w:rFonts w:hint="eastAsia" w:ascii="仿宋_GB2312" w:hAnsi="黑体" w:eastAsia="仿宋_GB2312"/>
          <w:sz w:val="32"/>
          <w:szCs w:val="32"/>
        </w:rPr>
        <w:t>万元，主要包括：办公费、</w:t>
      </w:r>
      <w:r>
        <w:rPr>
          <w:rFonts w:hint="eastAsia" w:ascii="仿宋_GB2312" w:hAnsi="黑体" w:eastAsia="仿宋_GB2312"/>
          <w:sz w:val="32"/>
          <w:szCs w:val="32"/>
          <w:lang w:val="en-US" w:eastAsia="zh-CN"/>
        </w:rPr>
        <w:t>会议</w:t>
      </w:r>
      <w:r>
        <w:rPr>
          <w:rFonts w:hint="eastAsia" w:ascii="仿宋_GB2312" w:hAnsi="黑体" w:eastAsia="仿宋_GB2312"/>
          <w:sz w:val="32"/>
          <w:szCs w:val="32"/>
        </w:rPr>
        <w:t>费、</w:t>
      </w:r>
      <w:r>
        <w:rPr>
          <w:rFonts w:hint="eastAsia" w:ascii="仿宋_GB2312" w:hAnsi="黑体" w:eastAsia="仿宋_GB2312"/>
          <w:sz w:val="32"/>
          <w:szCs w:val="32"/>
          <w:lang w:val="en-US" w:eastAsia="zh-CN"/>
        </w:rPr>
        <w:t>培训费、</w:t>
      </w:r>
      <w:r>
        <w:rPr>
          <w:rFonts w:hint="eastAsia" w:ascii="仿宋_GB2312" w:hAnsi="黑体" w:eastAsia="仿宋_GB2312"/>
          <w:sz w:val="32"/>
          <w:szCs w:val="32"/>
        </w:rPr>
        <w:t>手续费、水费、电费、</w:t>
      </w:r>
      <w:r>
        <w:rPr>
          <w:rFonts w:hint="eastAsia" w:ascii="仿宋_GB2312" w:hAnsi="黑体" w:eastAsia="仿宋_GB2312"/>
          <w:sz w:val="32"/>
          <w:szCs w:val="32"/>
          <w:lang w:val="en-US" w:eastAsia="zh-CN"/>
        </w:rPr>
        <w:t>公务用车运行费、其他交通费用等</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val="en-US" w:eastAsia="zh-CN"/>
        </w:rPr>
        <w:t>三亚市人力资源和社会保障局部门2024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仿宋_GB2312" w:eastAsia="仿宋_GB2312" w:cs="仿宋_GB2312"/>
          <w:sz w:val="32"/>
          <w:szCs w:val="32"/>
          <w:lang w:val="en-US" w:eastAsia="zh-CN"/>
        </w:rPr>
        <w:t>三亚市人力资源和社会保障局部门2024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9.01</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lang w:eastAsia="zh-CN"/>
        </w:rPr>
        <w:t>三亚外事办</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lang w:val="en-US" w:eastAsia="zh-CN"/>
        </w:rPr>
        <w:t>5.11</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5.11</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相同</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color w:val="auto"/>
          <w:sz w:val="32"/>
          <w:szCs w:val="32"/>
        </w:rPr>
        <w:t>公务接待费</w:t>
      </w:r>
      <w:r>
        <w:rPr>
          <w:rFonts w:hint="eastAsia" w:ascii="仿宋_GB2312" w:hAnsi="黑体" w:eastAsia="仿宋_GB2312" w:cs="仿宋_GB2312"/>
          <w:color w:val="auto"/>
          <w:sz w:val="32"/>
          <w:szCs w:val="32"/>
          <w:lang w:val="en-US" w:eastAsia="zh-CN"/>
        </w:rPr>
        <w:t>3.9</w:t>
      </w:r>
      <w:r>
        <w:rPr>
          <w:rFonts w:ascii="Times New Roman" w:hAnsi="Times New Roman" w:eastAsia="仿宋_GB2312" w:cs="Times New Roman"/>
          <w:color w:val="auto"/>
          <w:sz w:val="32"/>
          <w:shd w:val="clear" w:color="auto" w:fill="FFFFFF"/>
        </w:rPr>
        <w:t>万元，</w:t>
      </w:r>
      <w:r>
        <w:rPr>
          <w:rFonts w:hint="eastAsia" w:ascii="Times New Roman" w:hAnsi="Times New Roman" w:eastAsia="仿宋_GB2312" w:cs="Times New Roman"/>
          <w:sz w:val="32"/>
          <w:shd w:val="clear" w:color="auto" w:fill="FFFFFF"/>
          <w:lang w:eastAsia="zh-CN"/>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略有减少</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val="en-US" w:eastAsia="zh-CN"/>
        </w:rPr>
        <w:t>本年度计划接待团次、人数</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18</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50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仿宋_GB2312" w:eastAsia="仿宋_GB2312" w:cs="仿宋_GB2312"/>
          <w:sz w:val="32"/>
          <w:szCs w:val="32"/>
          <w:lang w:val="en-US" w:eastAsia="zh-CN"/>
        </w:rPr>
        <w:t>三亚市人力资源和社会保障局部门2024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lang w:eastAsia="zh-CN"/>
        </w:rPr>
        <w:t>三亚外事办</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val="en-US" w:eastAsia="zh-CN"/>
        </w:rPr>
        <w:t>三亚市人力资源和社会保障局部门2024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lang w:val="en-US" w:eastAsia="zh-CN"/>
        </w:rPr>
        <w:t>三亚市人力资源和社会保障局部门2024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val="en-US" w:eastAsia="zh-CN"/>
        </w:rPr>
        <w:t>三亚市人力资源和社会保障局部门2024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仿宋_GB2312" w:eastAsia="仿宋_GB2312" w:cs="仿宋_GB2312"/>
          <w:sz w:val="32"/>
          <w:szCs w:val="32"/>
          <w:lang w:val="en-US" w:eastAsia="zh-CN"/>
        </w:rPr>
        <w:t>三亚市人力资源和社会保障局部门2024</w:t>
      </w:r>
      <w:r>
        <w:rPr>
          <w:rFonts w:hint="eastAsia" w:ascii="仿宋_GB2312" w:hAnsi="黑体" w:eastAsia="仿宋_GB2312" w:cs="仿宋_GB2312"/>
          <w:sz w:val="32"/>
          <w:szCs w:val="32"/>
        </w:rPr>
        <w:t>所有收入和支出均纳入部门预算管理。收入包括：一般公共预算收入、政府性基金收入、其他财政资金收入、事业收入</w:t>
      </w:r>
      <w:r>
        <w:rPr>
          <w:rFonts w:hint="eastAsia" w:ascii="仿宋_GB2312" w:hAnsi="黑体" w:eastAsia="仿宋_GB2312"/>
          <w:sz w:val="32"/>
          <w:szCs w:val="32"/>
        </w:rPr>
        <w:t>；支出包括：一般公共服务支出、外交支出、国防支出、公共安全支出、教育支出。</w:t>
      </w:r>
      <w:r>
        <w:rPr>
          <w:rFonts w:hint="eastAsia" w:ascii="仿宋_GB2312" w:hAnsi="黑体" w:eastAsia="仿宋_GB2312" w:cs="仿宋_GB2312"/>
          <w:sz w:val="32"/>
          <w:szCs w:val="32"/>
          <w:lang w:val="en-US" w:eastAsia="zh-CN"/>
        </w:rPr>
        <w:t>三亚市人力资源和社会保障局部门2024</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19374.19</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val="en-US" w:eastAsia="zh-CN"/>
        </w:rPr>
        <w:t>三亚市人力资源和社会保障局部门2024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lang w:val="en-US" w:eastAsia="zh-CN"/>
        </w:rPr>
        <w:t>三亚市人力资源和社会保障局部门2024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19374.19</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480.29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2.54</w:t>
      </w:r>
      <w:r>
        <w:rPr>
          <w:rFonts w:hint="eastAsia" w:ascii="仿宋_GB2312" w:hAnsi="黑体" w:eastAsia="仿宋_GB2312"/>
          <w:sz w:val="32"/>
          <w:szCs w:val="32"/>
        </w:rPr>
        <w:t>%；</w:t>
      </w:r>
      <w:r>
        <w:rPr>
          <w:rFonts w:hint="eastAsia" w:ascii="仿宋_GB2312" w:hAnsi="黑体" w:eastAsia="仿宋_GB2312"/>
          <w:sz w:val="32"/>
          <w:szCs w:val="32"/>
          <w:lang w:eastAsia="zh-CN"/>
        </w:rPr>
        <w:t>一般公共预算</w:t>
      </w:r>
      <w:r>
        <w:rPr>
          <w:rFonts w:hint="eastAsia" w:ascii="仿宋_GB2312" w:hAnsi="黑体" w:eastAsia="仿宋_GB2312"/>
          <w:sz w:val="32"/>
          <w:szCs w:val="32"/>
        </w:rPr>
        <w:t>拨款收入</w:t>
      </w:r>
      <w:r>
        <w:rPr>
          <w:rFonts w:hint="eastAsia" w:ascii="仿宋_GB2312" w:hAnsi="黑体" w:eastAsia="仿宋_GB2312" w:cs="仿宋_GB2312"/>
          <w:sz w:val="32"/>
          <w:szCs w:val="32"/>
          <w:lang w:val="en-US" w:eastAsia="zh-CN"/>
        </w:rPr>
        <w:t>18893.9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97.46</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val="en-US" w:eastAsia="zh-CN"/>
        </w:rPr>
        <w:t>三亚市人力资源和社会保障局部门2024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lang w:val="en-US" w:eastAsia="zh-CN"/>
        </w:rPr>
        <w:t>三亚市人力资源和社会保障局部门2024</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19374.19</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3141.63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16.22</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16232.56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83.78</w:t>
      </w:r>
      <w:r>
        <w:rPr>
          <w:rFonts w:hint="eastAsia" w:ascii="仿宋_GB2312" w:hAnsi="黑体" w:eastAsia="仿宋_GB2312"/>
          <w:sz w:val="32"/>
          <w:szCs w:val="32"/>
        </w:rPr>
        <w:t>%</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rPr>
        <w:t>预算数</w:t>
      </w:r>
      <w:r>
        <w:rPr>
          <w:rFonts w:hint="eastAsia" w:ascii="仿宋_GB2312" w:hAnsi="黑体" w:eastAsia="仿宋_GB2312" w:cs="仿宋_GB2312"/>
          <w:sz w:val="32"/>
          <w:szCs w:val="32"/>
          <w:lang w:val="en-US" w:eastAsia="zh-CN"/>
        </w:rPr>
        <w:t>16273.77</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本年度全市就业补贴发放人数增多</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lang w:val="en-US" w:eastAsia="zh-CN"/>
        </w:rPr>
        <w:t>三亚市人力资源和社会保障局部门2024</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1018.51</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仿宋_GB2312" w:eastAsia="仿宋_GB2312" w:cs="仿宋_GB2312"/>
          <w:sz w:val="32"/>
          <w:szCs w:val="32"/>
          <w:lang w:val="en-US" w:eastAsia="zh-CN"/>
        </w:rPr>
        <w:t>三亚市人力资源和社会保障局部门2024</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cs="仿宋_GB2312"/>
          <w:sz w:val="32"/>
          <w:szCs w:val="32"/>
          <w:lang w:val="en-US" w:eastAsia="zh-CN"/>
        </w:rPr>
        <w:t>三亚市人力资源和社会保障局部门</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lang w:val="en-US" w:eastAsia="zh-CN"/>
        </w:rPr>
        <w:t>三亚市人力资源和社会保障局部门</w:t>
      </w:r>
      <w:r>
        <w:rPr>
          <w:rFonts w:hint="eastAsia" w:ascii="仿宋_GB2312" w:hAnsi="黑体" w:eastAsia="仿宋_GB2312" w:cs="仿宋_GB2312"/>
          <w:sz w:val="32"/>
          <w:szCs w:val="32"/>
          <w:lang w:val="en-US" w:eastAsia="zh-CN"/>
        </w:rPr>
        <w:t>104</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18893.89</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sz w:val="32"/>
          <w:szCs w:val="32"/>
          <w:u w:val="none"/>
          <w:lang w:val="en-US" w:eastAsia="zh-CN"/>
        </w:rPr>
        <w:t>1.</w:t>
      </w:r>
      <w:r>
        <w:rPr>
          <w:rFonts w:hint="eastAsia" w:ascii="仿宋_GB2312" w:hAnsi="黑体" w:eastAsia="仿宋_GB2312" w:cs="仿宋_GB2312"/>
          <w:sz w:val="32"/>
          <w:szCs w:val="32"/>
          <w:u w:val="none"/>
        </w:rPr>
        <w:t>人才开发专项资金</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5000</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sz w:val="32"/>
          <w:szCs w:val="32"/>
          <w:u w:val="none"/>
        </w:rPr>
        <w:t>发放引进人才住房租赁和购房补贴</w:t>
      </w:r>
      <w:r>
        <w:rPr>
          <w:rFonts w:hint="eastAsia" w:ascii="仿宋_GB2312" w:hAnsi="黑体" w:eastAsia="仿宋_GB2312" w:cs="仿宋_GB2312"/>
          <w:sz w:val="32"/>
          <w:szCs w:val="32"/>
          <w:u w:val="none"/>
          <w:lang w:eastAsia="zh-CN"/>
        </w:rPr>
        <w:t>。绩效目标是支持培养高层次人才，支持人才发展和建设。</w:t>
      </w:r>
    </w:p>
    <w:p>
      <w:pPr>
        <w:ind w:firstLine="640" w:firstLineChars="200"/>
        <w:rPr>
          <w:rFonts w:hint="default"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就业和三支一扶补助资金</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5252</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sz w:val="32"/>
          <w:szCs w:val="32"/>
          <w:u w:val="none"/>
        </w:rPr>
        <w:t>用于支付就业见习补贴、社保补贴、其他就业补助、创业补贴等就业补助资金规定支出项目。</w:t>
      </w:r>
      <w:r>
        <w:rPr>
          <w:rFonts w:hint="eastAsia" w:ascii="仿宋_GB2312" w:hAnsi="黑体" w:eastAsia="仿宋_GB2312" w:cs="仿宋_GB2312"/>
          <w:sz w:val="32"/>
          <w:szCs w:val="32"/>
          <w:u w:val="none"/>
          <w:lang w:eastAsia="zh-CN"/>
        </w:rPr>
        <w:t>绩效目标是保障“三支一扶”人员基本工资待遇，发挥正向激励作用，带动实现就业。</w:t>
      </w:r>
    </w:p>
    <w:p>
      <w:pPr>
        <w:jc w:val="both"/>
        <w:rPr>
          <w:rFonts w:ascii="黑体" w:hAnsi="黑体" w:eastAsia="黑体"/>
          <w:sz w:val="32"/>
          <w:szCs w:val="32"/>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15DE2"/>
    <w:rsid w:val="04707B99"/>
    <w:rsid w:val="071A1040"/>
    <w:rsid w:val="07812A02"/>
    <w:rsid w:val="09A40975"/>
    <w:rsid w:val="0AAF01F6"/>
    <w:rsid w:val="0AE47DFA"/>
    <w:rsid w:val="0B5D5C5F"/>
    <w:rsid w:val="0BB80878"/>
    <w:rsid w:val="0C164388"/>
    <w:rsid w:val="0C1F0FD6"/>
    <w:rsid w:val="0C592A14"/>
    <w:rsid w:val="11154183"/>
    <w:rsid w:val="18553BCE"/>
    <w:rsid w:val="1E266E5F"/>
    <w:rsid w:val="1EF36FDC"/>
    <w:rsid w:val="277B5ACF"/>
    <w:rsid w:val="27CC5913"/>
    <w:rsid w:val="27E14583"/>
    <w:rsid w:val="2A4D60B6"/>
    <w:rsid w:val="2ABC492D"/>
    <w:rsid w:val="2E9443E0"/>
    <w:rsid w:val="2FAC4654"/>
    <w:rsid w:val="315F4618"/>
    <w:rsid w:val="35EF5721"/>
    <w:rsid w:val="375B19C4"/>
    <w:rsid w:val="38B7733B"/>
    <w:rsid w:val="39A3097B"/>
    <w:rsid w:val="3A0510A6"/>
    <w:rsid w:val="3EBC130D"/>
    <w:rsid w:val="3ED80884"/>
    <w:rsid w:val="3EE158A3"/>
    <w:rsid w:val="3EE716F8"/>
    <w:rsid w:val="401510B4"/>
    <w:rsid w:val="42611DE1"/>
    <w:rsid w:val="437B0809"/>
    <w:rsid w:val="43806B27"/>
    <w:rsid w:val="498C3DC3"/>
    <w:rsid w:val="4BF250BE"/>
    <w:rsid w:val="4CBB0D2E"/>
    <w:rsid w:val="4D0B3AA2"/>
    <w:rsid w:val="4DC82C7A"/>
    <w:rsid w:val="4F034669"/>
    <w:rsid w:val="509F3490"/>
    <w:rsid w:val="53B80AEE"/>
    <w:rsid w:val="55B96517"/>
    <w:rsid w:val="56E552F8"/>
    <w:rsid w:val="5BAD6062"/>
    <w:rsid w:val="5CCF21E9"/>
    <w:rsid w:val="6123424C"/>
    <w:rsid w:val="645F0531"/>
    <w:rsid w:val="6BE6295E"/>
    <w:rsid w:val="6FF61715"/>
    <w:rsid w:val="762740D3"/>
    <w:rsid w:val="78E47183"/>
    <w:rsid w:val="7ADE093B"/>
    <w:rsid w:val="7CC86F47"/>
    <w:rsid w:val="7CCC2D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nhideWhenUsed="0" w:uiPriority="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611</Words>
  <Characters>3484</Characters>
  <Lines>29</Lines>
  <Paragraphs>8</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cp:lastPrinted>2024-03-04T12:12:00Z</cp:lastPrinted>
  <dcterms:modified xsi:type="dcterms:W3CDTF">2024-03-11T02:02:04Z</dcterms:modified>
  <dc:title>××年××部门预算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